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69"/>
      </w:tblGrid>
      <w:tr w:rsidR="00656910" w:rsidRPr="00534595" w:rsidTr="009E2367">
        <w:trPr>
          <w:jc w:val="center"/>
        </w:trPr>
        <w:tc>
          <w:tcPr>
            <w:tcW w:w="4252" w:type="dxa"/>
          </w:tcPr>
          <w:p w:rsidR="00656910" w:rsidRPr="00534595" w:rsidRDefault="00656910" w:rsidP="009E2367">
            <w:pPr>
              <w:jc w:val="center"/>
              <w:rPr>
                <w:caps/>
                <w:sz w:val="26"/>
                <w:szCs w:val="26"/>
                <w:lang w:val="en-US"/>
              </w:rPr>
            </w:pPr>
            <w:r w:rsidRPr="00534595">
              <w:rPr>
                <w:caps/>
                <w:sz w:val="26"/>
                <w:szCs w:val="26"/>
                <w:lang w:val="en-US"/>
              </w:rPr>
              <w:t>UBND TỈNH AN GIANG</w:t>
            </w:r>
          </w:p>
          <w:p w:rsidR="00656910" w:rsidRPr="00534595" w:rsidRDefault="00656910" w:rsidP="009E2367">
            <w:pPr>
              <w:jc w:val="center"/>
              <w:rPr>
                <w:b/>
                <w:sz w:val="26"/>
                <w:szCs w:val="26"/>
                <w:lang w:val="en-US"/>
              </w:rPr>
            </w:pPr>
            <w:r w:rsidRPr="00534595">
              <w:rPr>
                <w:b/>
                <w:caps/>
                <w:sz w:val="26"/>
                <w:szCs w:val="26"/>
                <w:lang w:val="en-US"/>
              </w:rPr>
              <w:t>SỞ KHOA HỌC VÀ CÔNG NGHỆ</w:t>
            </w:r>
          </w:p>
          <w:p w:rsidR="000B76F8" w:rsidRPr="00534595" w:rsidRDefault="00D803B5" w:rsidP="009E2367">
            <w:pPr>
              <w:jc w:val="center"/>
              <w:rPr>
                <w:szCs w:val="28"/>
                <w:lang w:val="en-US"/>
              </w:rPr>
            </w:pPr>
            <w:r w:rsidRPr="00534595">
              <w:rPr>
                <w:noProof/>
                <w:lang w:val="en-US"/>
              </w:rPr>
              <mc:AlternateContent>
                <mc:Choice Requires="wps">
                  <w:drawing>
                    <wp:anchor distT="0" distB="0" distL="114300" distR="114300" simplePos="0" relativeHeight="251659264" behindDoc="0" locked="0" layoutInCell="1" allowOverlap="1" wp14:anchorId="0BAE0DAA" wp14:editId="2F4EFB37">
                      <wp:simplePos x="0" y="0"/>
                      <wp:positionH relativeFrom="column">
                        <wp:align>center</wp:align>
                      </wp:positionH>
                      <wp:positionV relativeFrom="paragraph">
                        <wp:posOffset>71755</wp:posOffset>
                      </wp:positionV>
                      <wp:extent cx="90000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7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" strokecolor="black [3213]"/>
                  </w:pict>
                </mc:Fallback>
              </mc:AlternateContent>
            </w:r>
          </w:p>
        </w:tc>
        <w:tc>
          <w:tcPr>
            <w:tcW w:w="5669" w:type="dxa"/>
          </w:tcPr>
          <w:p w:rsidR="00656910" w:rsidRPr="00534595" w:rsidRDefault="00656910" w:rsidP="009E2367">
            <w:pPr>
              <w:jc w:val="center"/>
              <w:rPr>
                <w:b/>
                <w:caps/>
                <w:sz w:val="26"/>
                <w:szCs w:val="26"/>
                <w:lang w:val="en-US"/>
              </w:rPr>
            </w:pPr>
            <w:r w:rsidRPr="00534595">
              <w:rPr>
                <w:b/>
                <w:caps/>
                <w:sz w:val="26"/>
                <w:szCs w:val="26"/>
                <w:lang w:val="en-US"/>
              </w:rPr>
              <w:t>CỘNG HÒA XÃ HỘI CHỦ NGHĨA VIỆT NAM</w:t>
            </w:r>
          </w:p>
          <w:p w:rsidR="00656910" w:rsidRPr="00534595" w:rsidRDefault="00656910" w:rsidP="009E2367">
            <w:pPr>
              <w:jc w:val="center"/>
              <w:rPr>
                <w:b/>
                <w:szCs w:val="26"/>
                <w:lang w:val="en-US"/>
              </w:rPr>
            </w:pPr>
            <w:r w:rsidRPr="00534595">
              <w:rPr>
                <w:b/>
                <w:szCs w:val="26"/>
                <w:lang w:val="en-US"/>
              </w:rPr>
              <w:t>Độc lập - Tự do - Hạnh phúc</w:t>
            </w:r>
          </w:p>
          <w:p w:rsidR="00656910" w:rsidRPr="00534595" w:rsidRDefault="00656910" w:rsidP="009E2367">
            <w:pPr>
              <w:jc w:val="center"/>
              <w:rPr>
                <w:szCs w:val="28"/>
                <w:lang w:val="en-US"/>
              </w:rPr>
            </w:pPr>
            <w:r w:rsidRPr="00534595">
              <w:rPr>
                <w:b/>
                <w:noProof/>
                <w:lang w:val="en-US"/>
              </w:rPr>
              <mc:AlternateContent>
                <mc:Choice Requires="wps">
                  <w:drawing>
                    <wp:anchor distT="0" distB="0" distL="114300" distR="114300" simplePos="0" relativeHeight="251661312" behindDoc="0" locked="0" layoutInCell="1" allowOverlap="1" wp14:anchorId="04083943" wp14:editId="4A896F5E">
                      <wp:simplePos x="0" y="0"/>
                      <wp:positionH relativeFrom="column">
                        <wp:align>center</wp:align>
                      </wp:positionH>
                      <wp:positionV relativeFrom="paragraph">
                        <wp:posOffset>71755</wp:posOffset>
                      </wp:positionV>
                      <wp:extent cx="2160000"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17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" strokecolor="black [3213]"/>
                  </w:pict>
                </mc:Fallback>
              </mc:AlternateContent>
            </w:r>
          </w:p>
        </w:tc>
      </w:tr>
      <w:tr w:rsidR="000344C4" w:rsidRPr="00534595" w:rsidTr="003436AD">
        <w:trPr>
          <w:jc w:val="center"/>
        </w:trPr>
        <w:tc>
          <w:tcPr>
            <w:tcW w:w="4252" w:type="dxa"/>
            <w:vAlign w:val="bottom"/>
          </w:tcPr>
          <w:p w:rsidR="000344C4" w:rsidRPr="00534595" w:rsidRDefault="000344C4" w:rsidP="00ED7355">
            <w:pPr>
              <w:jc w:val="center"/>
              <w:rPr>
                <w:caps/>
                <w:sz w:val="26"/>
                <w:szCs w:val="26"/>
                <w:lang w:val="en-US"/>
              </w:rPr>
            </w:pPr>
            <w:r w:rsidRPr="00534595">
              <w:rPr>
                <w:sz w:val="26"/>
                <w:szCs w:val="26"/>
                <w:lang w:val="en-US"/>
              </w:rPr>
              <w:t>Số</w:t>
            </w:r>
            <w:r w:rsidR="000E766A">
              <w:rPr>
                <w:sz w:val="26"/>
                <w:szCs w:val="26"/>
                <w:lang w:val="en-US"/>
              </w:rPr>
              <w:t xml:space="preserve">: </w:t>
            </w:r>
            <w:r w:rsidR="00F653D6">
              <w:rPr>
                <w:sz w:val="26"/>
                <w:szCs w:val="26"/>
                <w:lang w:val="en-US"/>
              </w:rPr>
              <w:t>1533</w:t>
            </w:r>
            <w:r w:rsidRPr="00534595">
              <w:rPr>
                <w:sz w:val="26"/>
                <w:szCs w:val="26"/>
                <w:lang w:val="en-US"/>
              </w:rPr>
              <w:t>/</w:t>
            </w:r>
            <w:r w:rsidR="002725D8" w:rsidRPr="00534595">
              <w:rPr>
                <w:sz w:val="26"/>
                <w:szCs w:val="26"/>
                <w:lang w:val="en-US"/>
              </w:rPr>
              <w:t>T</w:t>
            </w:r>
            <w:r w:rsidR="002725D8" w:rsidRPr="00534595">
              <w:rPr>
                <w:caps/>
                <w:sz w:val="26"/>
                <w:szCs w:val="26"/>
                <w:lang w:val="en-US"/>
              </w:rPr>
              <w:t>B</w:t>
            </w:r>
            <w:r w:rsidRPr="00534595">
              <w:rPr>
                <w:caps/>
                <w:sz w:val="26"/>
                <w:szCs w:val="26"/>
                <w:lang w:val="en-US"/>
              </w:rPr>
              <w:t>-SKHCN</w:t>
            </w:r>
          </w:p>
        </w:tc>
        <w:tc>
          <w:tcPr>
            <w:tcW w:w="5669" w:type="dxa"/>
            <w:vAlign w:val="bottom"/>
          </w:tcPr>
          <w:p w:rsidR="000344C4" w:rsidRPr="00534595" w:rsidRDefault="000E766A" w:rsidP="00581DC0">
            <w:pPr>
              <w:jc w:val="center"/>
              <w:rPr>
                <w:b/>
                <w:caps/>
                <w:lang w:val="en-US"/>
              </w:rPr>
            </w:pPr>
            <w:r>
              <w:rPr>
                <w:i/>
                <w:szCs w:val="28"/>
                <w:lang w:val="en-US"/>
              </w:rPr>
              <w:t>An Giang, ngày</w:t>
            </w:r>
            <w:r w:rsidR="00F653D6">
              <w:rPr>
                <w:i/>
                <w:szCs w:val="28"/>
                <w:lang w:val="en-US"/>
              </w:rPr>
              <w:t xml:space="preserve"> 06</w:t>
            </w:r>
            <w:r w:rsidR="003A5CC9">
              <w:rPr>
                <w:i/>
                <w:szCs w:val="28"/>
                <w:lang w:val="en-US"/>
              </w:rPr>
              <w:t xml:space="preserve"> tháng </w:t>
            </w:r>
            <w:r w:rsidR="005E1025">
              <w:rPr>
                <w:i/>
                <w:szCs w:val="28"/>
                <w:lang w:val="en-US"/>
              </w:rPr>
              <w:t>1</w:t>
            </w:r>
            <w:r w:rsidR="00581DC0">
              <w:rPr>
                <w:i/>
                <w:szCs w:val="28"/>
                <w:lang w:val="en-US"/>
              </w:rPr>
              <w:t>2</w:t>
            </w:r>
            <w:r>
              <w:rPr>
                <w:i/>
                <w:szCs w:val="28"/>
                <w:lang w:val="en-US"/>
              </w:rPr>
              <w:t xml:space="preserve"> </w:t>
            </w:r>
            <w:r w:rsidR="00EB5DA4" w:rsidRPr="00534595">
              <w:rPr>
                <w:i/>
                <w:szCs w:val="28"/>
                <w:lang w:val="en-US"/>
              </w:rPr>
              <w:t>năm 20</w:t>
            </w:r>
            <w:r w:rsidR="002725D8" w:rsidRPr="00534595">
              <w:rPr>
                <w:i/>
                <w:szCs w:val="28"/>
                <w:lang w:val="en-US"/>
              </w:rPr>
              <w:t>2</w:t>
            </w:r>
            <w:r w:rsidR="00AC40A4">
              <w:rPr>
                <w:i/>
                <w:szCs w:val="28"/>
                <w:lang w:val="en-US"/>
              </w:rPr>
              <w:t>1</w:t>
            </w:r>
          </w:p>
        </w:tc>
      </w:tr>
    </w:tbl>
    <w:p w:rsidR="000B76F8" w:rsidRPr="004D4C9C" w:rsidRDefault="002725D8" w:rsidP="008F45D7">
      <w:pPr>
        <w:spacing w:before="360"/>
        <w:jc w:val="center"/>
        <w:rPr>
          <w:b/>
          <w:caps/>
          <w:szCs w:val="28"/>
        </w:rPr>
      </w:pPr>
      <w:r w:rsidRPr="004D4C9C">
        <w:rPr>
          <w:b/>
          <w:caps/>
          <w:szCs w:val="28"/>
        </w:rPr>
        <w:t>thông BÁO</w:t>
      </w:r>
    </w:p>
    <w:p w:rsidR="000B76F8" w:rsidRPr="004D4C9C" w:rsidRDefault="002725D8" w:rsidP="002725D8">
      <w:pPr>
        <w:spacing w:before="0"/>
        <w:jc w:val="center"/>
        <w:rPr>
          <w:b/>
          <w:szCs w:val="28"/>
        </w:rPr>
      </w:pPr>
      <w:r w:rsidRPr="004D4C9C">
        <w:rPr>
          <w:b/>
          <w:szCs w:val="28"/>
        </w:rPr>
        <w:t>Về việc tuyển chọn tổ chức, cá nhân chủ trì thực hiện nhiệm vụ</w:t>
      </w:r>
      <w:r w:rsidRPr="004D4C9C">
        <w:rPr>
          <w:b/>
          <w:szCs w:val="28"/>
        </w:rPr>
        <w:br/>
        <w:t>khoa học và công nghệ cấp tỉ</w:t>
      </w:r>
      <w:r w:rsidR="003A5CC9" w:rsidRPr="004D4C9C">
        <w:rPr>
          <w:b/>
          <w:szCs w:val="28"/>
        </w:rPr>
        <w:t>nh năm 2021</w:t>
      </w:r>
      <w:r w:rsidRPr="004D4C9C">
        <w:rPr>
          <w:b/>
          <w:szCs w:val="28"/>
        </w:rPr>
        <w:t xml:space="preserve"> - 202</w:t>
      </w:r>
      <w:r w:rsidR="003A5CC9" w:rsidRPr="004D4C9C">
        <w:rPr>
          <w:b/>
          <w:szCs w:val="28"/>
        </w:rPr>
        <w:t>2</w:t>
      </w:r>
      <w:r w:rsidR="0038314E" w:rsidRPr="004D4C9C">
        <w:rPr>
          <w:b/>
          <w:szCs w:val="28"/>
        </w:rPr>
        <w:t xml:space="preserve"> (lần 2)</w:t>
      </w:r>
    </w:p>
    <w:bookmarkStart w:id="0" w:name="_GoBack"/>
    <w:bookmarkEnd w:id="0"/>
    <w:p w:rsidR="000B76F8" w:rsidRPr="004D4C9C" w:rsidRDefault="00D803B5" w:rsidP="00832561">
      <w:pPr>
        <w:jc w:val="center"/>
        <w:rPr>
          <w:b/>
          <w:szCs w:val="28"/>
        </w:rPr>
      </w:pPr>
      <w:r w:rsidRPr="00534595">
        <w:rPr>
          <w:noProof/>
          <w:szCs w:val="28"/>
          <w:lang w:val="en-US"/>
        </w:rPr>
        <mc:AlternateContent>
          <mc:Choice Requires="wps">
            <w:drawing>
              <wp:anchor distT="0" distB="0" distL="114300" distR="114300" simplePos="0" relativeHeight="251663360" behindDoc="0" locked="0" layoutInCell="1" allowOverlap="1" wp14:anchorId="1582538D" wp14:editId="43CBF900">
                <wp:simplePos x="0" y="0"/>
                <wp:positionH relativeFrom="margin">
                  <wp:align>center</wp:align>
                </wp:positionH>
                <wp:positionV relativeFrom="paragraph">
                  <wp:posOffset>144145</wp:posOffset>
                </wp:positionV>
                <wp:extent cx="900000"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35pt" to="70.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" strokecolor="black [3213]">
                <w10:wrap anchorx="margin"/>
              </v:line>
            </w:pict>
          </mc:Fallback>
        </mc:AlternateContent>
      </w:r>
    </w:p>
    <w:p w:rsidR="002725D8" w:rsidRPr="004D4C9C" w:rsidRDefault="002725D8" w:rsidP="00534595">
      <w:pPr>
        <w:ind w:firstLine="720"/>
      </w:pPr>
      <w:r w:rsidRPr="004D4C9C">
        <w:t xml:space="preserve">Căn cứ Quyết định số </w:t>
      </w:r>
      <w:r w:rsidR="003A5CC9" w:rsidRPr="004D4C9C">
        <w:t>1508</w:t>
      </w:r>
      <w:r w:rsidRPr="004D4C9C">
        <w:t xml:space="preserve">/QĐ-UBND ngày </w:t>
      </w:r>
      <w:r w:rsidR="003A5CC9" w:rsidRPr="004D4C9C">
        <w:t>07</w:t>
      </w:r>
      <w:r w:rsidR="00534595" w:rsidRPr="004D4C9C">
        <w:t>/</w:t>
      </w:r>
      <w:r w:rsidR="003A5CC9" w:rsidRPr="004D4C9C">
        <w:t>7</w:t>
      </w:r>
      <w:r w:rsidR="00534595" w:rsidRPr="004D4C9C">
        <w:t>/</w:t>
      </w:r>
      <w:r w:rsidRPr="004D4C9C">
        <w:t>202</w:t>
      </w:r>
      <w:r w:rsidR="003A5CC9" w:rsidRPr="004D4C9C">
        <w:t>1</w:t>
      </w:r>
      <w:r w:rsidRPr="004D4C9C">
        <w:t xml:space="preserve"> của UBND tỉnh An Giang về việc phê duyệt Danh mục nhiệm vụ khoa học và công nghệ cấp tỉ</w:t>
      </w:r>
      <w:r w:rsidR="00974D6E" w:rsidRPr="004D4C9C">
        <w:t>nh năm 202</w:t>
      </w:r>
      <w:r w:rsidR="003A5CC9" w:rsidRPr="004D4C9C">
        <w:t>1</w:t>
      </w:r>
      <w:r w:rsidR="00974D6E" w:rsidRPr="004D4C9C">
        <w:t xml:space="preserve"> - 202</w:t>
      </w:r>
      <w:r w:rsidR="003A5CC9" w:rsidRPr="004D4C9C">
        <w:t>2</w:t>
      </w:r>
      <w:r w:rsidR="0038314E" w:rsidRPr="004D4C9C">
        <w:t>;</w:t>
      </w:r>
    </w:p>
    <w:p w:rsidR="002725D8" w:rsidRPr="0068499F" w:rsidRDefault="002725D8" w:rsidP="00534595">
      <w:pPr>
        <w:ind w:firstLine="720"/>
        <w:rPr>
          <w:spacing w:val="-4"/>
        </w:rPr>
      </w:pPr>
      <w:r w:rsidRPr="004D4C9C">
        <w:rPr>
          <w:spacing w:val="-4"/>
        </w:rPr>
        <w:t>Thực hiện quy trình quản lý nhiệm vụ khoa học và công nghệ cấp tỉnh có sử dụ</w:t>
      </w:r>
      <w:r w:rsidR="00534595" w:rsidRPr="004D4C9C">
        <w:rPr>
          <w:spacing w:val="-4"/>
        </w:rPr>
        <w:t>ng ngân sách N</w:t>
      </w:r>
      <w:r w:rsidRPr="004D4C9C">
        <w:rPr>
          <w:spacing w:val="-4"/>
        </w:rPr>
        <w:t>hà nước trên địa bàn tỉnh An Giang, Sở Khoa học và Công nghệ tỉnh An Giang thông báo tuyển chọn tổ chức, cá nhân chủ trì thực hiện nhiệm vụ khoa học và công nghệ cấp tỉ</w:t>
      </w:r>
      <w:r w:rsidR="00446359" w:rsidRPr="004D4C9C">
        <w:rPr>
          <w:spacing w:val="-4"/>
        </w:rPr>
        <w:t>nh năm 2021</w:t>
      </w:r>
      <w:r w:rsidRPr="004D4C9C">
        <w:rPr>
          <w:spacing w:val="-4"/>
        </w:rPr>
        <w:t xml:space="preserve"> - 202</w:t>
      </w:r>
      <w:r w:rsidR="00446359" w:rsidRPr="004D4C9C">
        <w:rPr>
          <w:spacing w:val="-4"/>
        </w:rPr>
        <w:t>2</w:t>
      </w:r>
      <w:r w:rsidR="0038314E" w:rsidRPr="004D4C9C">
        <w:rPr>
          <w:spacing w:val="-4"/>
        </w:rPr>
        <w:t xml:space="preserve"> (lần 2)</w:t>
      </w:r>
      <w:r w:rsidRPr="004D4C9C">
        <w:rPr>
          <w:spacing w:val="-4"/>
        </w:rPr>
        <w:t xml:space="preserve">. </w:t>
      </w:r>
      <w:r w:rsidRPr="0068499F">
        <w:rPr>
          <w:spacing w:val="-4"/>
        </w:rPr>
        <w:t>Cụ thể như sau:</w:t>
      </w:r>
    </w:p>
    <w:p w:rsidR="00AC40A4" w:rsidRPr="00373DA8" w:rsidRDefault="00AC40A4" w:rsidP="00534595">
      <w:pPr>
        <w:ind w:firstLine="720"/>
        <w:rPr>
          <w:b/>
          <w:spacing w:val="-4"/>
        </w:rPr>
      </w:pPr>
      <w:r w:rsidRPr="00373DA8">
        <w:rPr>
          <w:b/>
          <w:spacing w:val="-4"/>
        </w:rPr>
        <w:t>I</w:t>
      </w:r>
      <w:r w:rsidR="00D025BA" w:rsidRPr="00373DA8">
        <w:rPr>
          <w:b/>
          <w:spacing w:val="-4"/>
        </w:rPr>
        <w:t>. Đ</w:t>
      </w:r>
      <w:r w:rsidRPr="00373DA8">
        <w:rPr>
          <w:b/>
          <w:spacing w:val="-4"/>
        </w:rPr>
        <w:t>ề tài thông báo tuyển chọn:</w:t>
      </w:r>
    </w:p>
    <w:p w:rsidR="00006B2C" w:rsidRPr="00373DA8" w:rsidRDefault="0038314E" w:rsidP="00006B2C">
      <w:pPr>
        <w:ind w:firstLine="720"/>
      </w:pPr>
      <w:r w:rsidRPr="00373DA8">
        <w:rPr>
          <w:b/>
        </w:rPr>
        <w:t>1</w:t>
      </w:r>
      <w:r w:rsidR="00006B2C" w:rsidRPr="00373DA8">
        <w:rPr>
          <w:b/>
        </w:rPr>
        <w:t>.</w:t>
      </w:r>
      <w:r w:rsidR="00006B2C" w:rsidRPr="00373DA8">
        <w:t xml:space="preserve"> So sánh năng suất, chất lượng giống lúa (Jasmine 85, LT1, LT18 và OM18) với các giống lúa chất lượng cao trong và ngoài nước ở điều kiện canh tác tại tỉnh An Giang;</w:t>
      </w:r>
    </w:p>
    <w:p w:rsidR="00006B2C" w:rsidRPr="00373DA8" w:rsidRDefault="0038314E" w:rsidP="00006B2C">
      <w:pPr>
        <w:ind w:firstLine="720"/>
      </w:pPr>
      <w:r w:rsidRPr="00373DA8">
        <w:rPr>
          <w:b/>
        </w:rPr>
        <w:t>2</w:t>
      </w:r>
      <w:r w:rsidR="00006B2C" w:rsidRPr="00373DA8">
        <w:rPr>
          <w:b/>
        </w:rPr>
        <w:t>.</w:t>
      </w:r>
      <w:r w:rsidR="00006B2C" w:rsidRPr="00373DA8">
        <w:t xml:space="preserve"> Nghiên cứu xây dựng mô hình du lịch cộng đồng và điểm du lịch đạt tiêu chuẩn phân hạng sản phẩm OCOP 4 sao, định hướng nâng hạng 5 sao tại tỉnh An Giang;</w:t>
      </w:r>
    </w:p>
    <w:p w:rsidR="002725D8" w:rsidRPr="00373DA8" w:rsidRDefault="00AC40A4" w:rsidP="00534595">
      <w:pPr>
        <w:ind w:firstLine="720"/>
        <w:rPr>
          <w:b/>
          <w:spacing w:val="-4"/>
        </w:rPr>
      </w:pPr>
      <w:r w:rsidRPr="00373DA8">
        <w:rPr>
          <w:b/>
          <w:spacing w:val="-4"/>
        </w:rPr>
        <w:t>I</w:t>
      </w:r>
      <w:r w:rsidR="002725D8" w:rsidRPr="00373DA8">
        <w:rPr>
          <w:b/>
          <w:spacing w:val="-4"/>
        </w:rPr>
        <w:t>I. Thời hạn nhận hồ</w:t>
      </w:r>
      <w:r w:rsidRPr="00373DA8">
        <w:rPr>
          <w:b/>
          <w:spacing w:val="-4"/>
        </w:rPr>
        <w:t xml:space="preserve"> sơ: </w:t>
      </w:r>
      <w:r w:rsidR="002725D8" w:rsidRPr="00373DA8">
        <w:rPr>
          <w:spacing w:val="-4"/>
        </w:rPr>
        <w:t xml:space="preserve">Từ ngày ra thông báo </w:t>
      </w:r>
      <w:r w:rsidR="002725D8" w:rsidRPr="00373DA8">
        <w:rPr>
          <w:b/>
          <w:spacing w:val="-4"/>
        </w:rPr>
        <w:t>đến hế</w:t>
      </w:r>
      <w:r w:rsidR="00D364F9" w:rsidRPr="00373DA8">
        <w:rPr>
          <w:b/>
          <w:spacing w:val="-4"/>
        </w:rPr>
        <w:t xml:space="preserve">t ngày </w:t>
      </w:r>
      <w:r w:rsidR="008F45D7" w:rsidRPr="00373DA8">
        <w:rPr>
          <w:b/>
          <w:spacing w:val="-4"/>
        </w:rPr>
        <w:t>2</w:t>
      </w:r>
      <w:r w:rsidR="000A2012" w:rsidRPr="00373DA8">
        <w:rPr>
          <w:b/>
          <w:spacing w:val="-4"/>
        </w:rPr>
        <w:t>8</w:t>
      </w:r>
      <w:r w:rsidR="00534595" w:rsidRPr="00373DA8">
        <w:rPr>
          <w:b/>
          <w:spacing w:val="-4"/>
        </w:rPr>
        <w:t>/</w:t>
      </w:r>
      <w:r w:rsidR="008F45D7" w:rsidRPr="00373DA8">
        <w:rPr>
          <w:b/>
          <w:spacing w:val="-4"/>
        </w:rPr>
        <w:t>01</w:t>
      </w:r>
      <w:r w:rsidR="00534595" w:rsidRPr="00373DA8">
        <w:rPr>
          <w:b/>
          <w:spacing w:val="-4"/>
        </w:rPr>
        <w:t>/</w:t>
      </w:r>
      <w:r w:rsidR="002725D8" w:rsidRPr="00373DA8">
        <w:rPr>
          <w:b/>
          <w:spacing w:val="-4"/>
        </w:rPr>
        <w:t>202</w:t>
      </w:r>
      <w:r w:rsidR="008F45D7" w:rsidRPr="00373DA8">
        <w:rPr>
          <w:b/>
          <w:spacing w:val="-4"/>
        </w:rPr>
        <w:t>2</w:t>
      </w:r>
      <w:r w:rsidR="00D364F9" w:rsidRPr="00373DA8">
        <w:rPr>
          <w:b/>
          <w:spacing w:val="-4"/>
        </w:rPr>
        <w:t>.</w:t>
      </w:r>
    </w:p>
    <w:p w:rsidR="002725D8" w:rsidRPr="00373DA8" w:rsidRDefault="002725D8" w:rsidP="00534595">
      <w:pPr>
        <w:ind w:firstLine="720"/>
        <w:rPr>
          <w:b/>
        </w:rPr>
      </w:pPr>
      <w:r w:rsidRPr="00373DA8">
        <w:rPr>
          <w:b/>
        </w:rPr>
        <w:t>I</w:t>
      </w:r>
      <w:r w:rsidR="008B10F8" w:rsidRPr="00373DA8">
        <w:rPr>
          <w:b/>
        </w:rPr>
        <w:t>I</w:t>
      </w:r>
      <w:r w:rsidRPr="00373DA8">
        <w:rPr>
          <w:b/>
        </w:rPr>
        <w:t>I. Hồ sơ đăng ký tham gia tuyển chọn:</w:t>
      </w:r>
    </w:p>
    <w:p w:rsidR="002725D8" w:rsidRPr="00373DA8" w:rsidRDefault="008B10F8" w:rsidP="00534595">
      <w:pPr>
        <w:ind w:firstLine="720"/>
        <w:rPr>
          <w:spacing w:val="-4"/>
        </w:rPr>
      </w:pPr>
      <w:r w:rsidRPr="00373DA8">
        <w:rPr>
          <w:b/>
          <w:spacing w:val="-4"/>
        </w:rPr>
        <w:t>3</w:t>
      </w:r>
      <w:r w:rsidR="002725D8" w:rsidRPr="00373DA8">
        <w:rPr>
          <w:b/>
          <w:spacing w:val="-4"/>
        </w:rPr>
        <w:t xml:space="preserve">.1 Hồ sơ đăng ký tham gia tuyển chọn: </w:t>
      </w:r>
      <w:r w:rsidR="002725D8" w:rsidRPr="00373DA8">
        <w:rPr>
          <w:spacing w:val="-4"/>
        </w:rPr>
        <w:t>02 bộ hồ sơ gốc (có dấu và chữ ký trực tiếp) và 01 bản điện tử được ghi trên đĩa quang</w:t>
      </w:r>
      <w:r w:rsidR="008F45D7" w:rsidRPr="00373DA8">
        <w:rPr>
          <w:spacing w:val="-4"/>
        </w:rPr>
        <w:t xml:space="preserve"> hoặc USB</w:t>
      </w:r>
      <w:r w:rsidR="002725D8" w:rsidRPr="00373DA8">
        <w:rPr>
          <w:spacing w:val="-4"/>
        </w:rPr>
        <w:t xml:space="preserve"> (dạng PDF, không đặt mật khẩ</w:t>
      </w:r>
      <w:r w:rsidR="00D509D3" w:rsidRPr="00373DA8">
        <w:rPr>
          <w:spacing w:val="-4"/>
        </w:rPr>
        <w:t>u). Hồ sơ</w:t>
      </w:r>
      <w:r w:rsidR="002725D8" w:rsidRPr="00373DA8">
        <w:rPr>
          <w:spacing w:val="-4"/>
        </w:rPr>
        <w:t xml:space="preserve"> được đóng gói trong túi hồ sơ có niêm phong, bên ngoài ghi rõ:</w:t>
      </w:r>
    </w:p>
    <w:p w:rsidR="002725D8" w:rsidRPr="00373DA8" w:rsidRDefault="002725D8" w:rsidP="00534595">
      <w:pPr>
        <w:ind w:firstLine="720"/>
      </w:pPr>
      <w:r w:rsidRPr="00373DA8">
        <w:rPr>
          <w:b/>
        </w:rPr>
        <w:t>(1)</w:t>
      </w:r>
      <w:r w:rsidRPr="00373DA8">
        <w:t xml:space="preserve"> Tên nhiệm vụ khoa học và công nghệ;</w:t>
      </w:r>
    </w:p>
    <w:p w:rsidR="002725D8" w:rsidRPr="00373DA8" w:rsidRDefault="002725D8" w:rsidP="00534595">
      <w:pPr>
        <w:ind w:firstLine="720"/>
      </w:pPr>
      <w:r w:rsidRPr="00373DA8">
        <w:rPr>
          <w:b/>
        </w:rPr>
        <w:t>(2)</w:t>
      </w:r>
      <w:r w:rsidRPr="00373DA8">
        <w:t xml:space="preserve"> Tên, địa chỉ của tổ chức đăng ký chủ trì nhiệm vụ;</w:t>
      </w:r>
    </w:p>
    <w:p w:rsidR="002725D8" w:rsidRPr="00373DA8" w:rsidRDefault="002725D8" w:rsidP="00534595">
      <w:pPr>
        <w:ind w:firstLine="720"/>
      </w:pPr>
      <w:r w:rsidRPr="00373DA8">
        <w:rPr>
          <w:b/>
        </w:rPr>
        <w:t>(3)</w:t>
      </w:r>
      <w:r w:rsidRPr="00373DA8">
        <w:t xml:space="preserve"> Họ tên của cá nhân đăng ký chủ trì thực hiện nhiệm vụ;</w:t>
      </w:r>
    </w:p>
    <w:p w:rsidR="002725D8" w:rsidRPr="00373DA8" w:rsidRDefault="002725D8" w:rsidP="00534595">
      <w:pPr>
        <w:ind w:firstLine="720"/>
      </w:pPr>
      <w:r w:rsidRPr="00373DA8">
        <w:rPr>
          <w:b/>
        </w:rPr>
        <w:t>(4)</w:t>
      </w:r>
      <w:r w:rsidRPr="00373DA8">
        <w:t xml:space="preserve"> Danh mục tài liệu có trong hồ sơ.</w:t>
      </w:r>
    </w:p>
    <w:p w:rsidR="002725D8" w:rsidRPr="00373DA8" w:rsidRDefault="008B10F8" w:rsidP="00534595">
      <w:pPr>
        <w:ind w:firstLine="720"/>
      </w:pPr>
      <w:r w:rsidRPr="00373DA8">
        <w:rPr>
          <w:b/>
        </w:rPr>
        <w:t>3</w:t>
      </w:r>
      <w:r w:rsidR="002725D8" w:rsidRPr="00373DA8">
        <w:rPr>
          <w:b/>
        </w:rPr>
        <w:t>.2. Thành phần hồ sơ đăng ký tham gia tuyển chọn:</w:t>
      </w:r>
    </w:p>
    <w:p w:rsidR="002725D8" w:rsidRPr="00373DA8" w:rsidRDefault="002725D8" w:rsidP="00534595">
      <w:pPr>
        <w:ind w:firstLine="720"/>
      </w:pPr>
      <w:r w:rsidRPr="00373DA8">
        <w:rPr>
          <w:b/>
        </w:rPr>
        <w:t>(1)</w:t>
      </w:r>
      <w:r w:rsidRPr="00373DA8">
        <w:t xml:space="preserve"> Bản sao Giấy chứng nhận đăng ký hoạt động khoa học và công nghệ của tổ chức đăng ký chủ trì;</w:t>
      </w:r>
    </w:p>
    <w:p w:rsidR="002725D8" w:rsidRPr="00373DA8" w:rsidRDefault="002725D8" w:rsidP="00534595">
      <w:pPr>
        <w:ind w:firstLine="720"/>
      </w:pPr>
      <w:r w:rsidRPr="00373DA8">
        <w:rPr>
          <w:b/>
        </w:rPr>
        <w:t>(2)</w:t>
      </w:r>
      <w:r w:rsidRPr="00373DA8">
        <w:t xml:space="preserve"> Đơn đăng ký chủ trì thực hiện nhiệm vụ khoa học và công nghệ    (Mẫu 06-ĐĐK);</w:t>
      </w:r>
    </w:p>
    <w:p w:rsidR="002725D8" w:rsidRPr="00373DA8" w:rsidRDefault="002725D8" w:rsidP="00534595">
      <w:pPr>
        <w:ind w:firstLine="720"/>
      </w:pPr>
      <w:r w:rsidRPr="00373DA8">
        <w:rPr>
          <w:b/>
        </w:rPr>
        <w:t>(3)</w:t>
      </w:r>
      <w:r w:rsidRPr="00373DA8">
        <w:t xml:space="preserve"> Thuyết minh đề tài (Mẫu 07-TMĐTCN đối với đề tài khoa học và công nghệ; Mẫu 08-TMĐTXH đối với đề tài khoa học xã hội);</w:t>
      </w:r>
    </w:p>
    <w:p w:rsidR="002725D8" w:rsidRPr="00373DA8" w:rsidRDefault="002725D8" w:rsidP="00534595">
      <w:pPr>
        <w:ind w:firstLine="720"/>
      </w:pPr>
      <w:r w:rsidRPr="00373DA8">
        <w:rPr>
          <w:b/>
        </w:rPr>
        <w:lastRenderedPageBreak/>
        <w:t>(4)</w:t>
      </w:r>
      <w:r w:rsidRPr="00373DA8">
        <w:t xml:space="preserve"> Tóm tắt hoạt động khoa học và công nghệ của tổ chức đăng ký chủ trì (Mẫu 11-LLTC);</w:t>
      </w:r>
    </w:p>
    <w:p w:rsidR="002725D8" w:rsidRPr="00373DA8" w:rsidRDefault="002725D8" w:rsidP="00534595">
      <w:pPr>
        <w:ind w:firstLine="720"/>
      </w:pPr>
      <w:r w:rsidRPr="00373DA8">
        <w:rPr>
          <w:b/>
        </w:rPr>
        <w:t>(5)</w:t>
      </w:r>
      <w:r w:rsidRPr="00373DA8">
        <w:t xml:space="preserve"> Lý lịch khoa học của cá nhân đăng ký chủ nhiệm và các cá nhân đăng ký thực hiện chính có xác nhận của cơ quan quản lý nhân sự (Mẫu 12-LLCN);</w:t>
      </w:r>
    </w:p>
    <w:p w:rsidR="002725D8" w:rsidRPr="00373DA8" w:rsidRDefault="002725D8" w:rsidP="00534595">
      <w:pPr>
        <w:ind w:firstLine="720"/>
      </w:pPr>
      <w:r w:rsidRPr="00373DA8">
        <w:rPr>
          <w:b/>
        </w:rPr>
        <w:t>(6)</w:t>
      </w:r>
      <w:r w:rsidRPr="00373DA8">
        <w:t xml:space="preserve"> Văn bản xác nhận ứng dụng kết quả nghiên cứu dự kiến của các tổ chức, cá nhân trên địa bàn tỉnh An Giang (Mẫu 50-GĐN);</w:t>
      </w:r>
    </w:p>
    <w:p w:rsidR="002725D8" w:rsidRPr="00373DA8" w:rsidRDefault="002725D8" w:rsidP="00534595">
      <w:pPr>
        <w:ind w:firstLine="720"/>
      </w:pPr>
      <w:r w:rsidRPr="00373DA8">
        <w:rPr>
          <w:b/>
        </w:rPr>
        <w:t>(7)</w:t>
      </w:r>
      <w:r w:rsidRPr="00373DA8">
        <w:t xml:space="preserve"> Văn bản xác nhận về sự đồng ý của các tổ chức đăng ký phối hợp thực hiện (nếu có) (Mẫu 13-PHNC);</w:t>
      </w:r>
    </w:p>
    <w:p w:rsidR="002725D8" w:rsidRPr="00373DA8" w:rsidRDefault="002725D8" w:rsidP="00534595">
      <w:pPr>
        <w:ind w:firstLine="720"/>
      </w:pPr>
      <w:r w:rsidRPr="00373DA8">
        <w:rPr>
          <w:b/>
        </w:rPr>
        <w:t>(8)</w:t>
      </w:r>
      <w:r w:rsidRPr="00373DA8">
        <w:t xml:space="preserve"> Văn bản chứng minh năng lực về nhân lực khoa học và công nghệ, trang thiết bị của đơn vị phối hợp và khả năng huy động vốn từ nguồn khác để thực hiện (nếu có);</w:t>
      </w:r>
    </w:p>
    <w:p w:rsidR="00D509D3" w:rsidRPr="00373DA8" w:rsidRDefault="002725D8" w:rsidP="008F45D7">
      <w:pPr>
        <w:ind w:firstLine="720"/>
        <w:rPr>
          <w:b/>
        </w:rPr>
      </w:pPr>
      <w:r w:rsidRPr="00373DA8">
        <w:rPr>
          <w:b/>
        </w:rPr>
        <w:t>(9)</w:t>
      </w:r>
      <w:r w:rsidRPr="00373DA8">
        <w:t xml:space="preserve"> Bảng báo giá thiết bị, nguyên vật liệu chính cần mua sắm (nếu có).</w:t>
      </w:r>
    </w:p>
    <w:p w:rsidR="002725D8" w:rsidRPr="00373DA8" w:rsidRDefault="008B10F8" w:rsidP="00534595">
      <w:pPr>
        <w:ind w:firstLine="720"/>
      </w:pPr>
      <w:r w:rsidRPr="00373DA8">
        <w:rPr>
          <w:b/>
        </w:rPr>
        <w:t>3</w:t>
      </w:r>
      <w:r w:rsidR="002725D8" w:rsidRPr="00373DA8">
        <w:rPr>
          <w:b/>
        </w:rPr>
        <w:t>.3. Lưu ý:</w:t>
      </w:r>
    </w:p>
    <w:p w:rsidR="002725D8" w:rsidRPr="00373DA8" w:rsidRDefault="002725D8" w:rsidP="00534595">
      <w:pPr>
        <w:ind w:firstLine="720"/>
        <w:rPr>
          <w:spacing w:val="-4"/>
        </w:rPr>
      </w:pPr>
      <w:r w:rsidRPr="00373DA8">
        <w:rPr>
          <w:spacing w:val="-4"/>
        </w:rPr>
        <w:t xml:space="preserve">Hồ sơ được xem là hợp lệ bắt buộc phải có các thành phần </w:t>
      </w:r>
      <w:r w:rsidRPr="00373DA8">
        <w:rPr>
          <w:b/>
          <w:spacing w:val="-4"/>
        </w:rPr>
        <w:t>từ (1) đến (6)</w:t>
      </w:r>
      <w:r w:rsidRPr="00373DA8">
        <w:rPr>
          <w:spacing w:val="-4"/>
        </w:rPr>
        <w:t xml:space="preserve">;  nộp đúng thời hạn (căn cứ vào dấu bưu điện nơi gửi hoặc dấu văn thư nhận nếu gửi trực tiếp) và các biểu mẫu phải đáp ứng yêu cầu phù hợp về thể thức và nội dung. </w:t>
      </w:r>
    </w:p>
    <w:p w:rsidR="002725D8" w:rsidRPr="00373DA8" w:rsidRDefault="002725D8" w:rsidP="00534595">
      <w:pPr>
        <w:ind w:firstLine="720"/>
        <w:rPr>
          <w:spacing w:val="-4"/>
        </w:rPr>
      </w:pPr>
      <w:r w:rsidRPr="00373DA8">
        <w:rPr>
          <w:spacing w:val="-4"/>
        </w:rPr>
        <w:t>Hồ sơ không hợp lệ sẽ không được xem xét tuyển chọn và không gửi trả lại.</w:t>
      </w:r>
    </w:p>
    <w:p w:rsidR="002725D8" w:rsidRPr="00373DA8" w:rsidRDefault="002725D8" w:rsidP="00534595">
      <w:pPr>
        <w:ind w:firstLine="720"/>
        <w:rPr>
          <w:b/>
        </w:rPr>
      </w:pPr>
      <w:r w:rsidRPr="00373DA8">
        <w:rPr>
          <w:b/>
        </w:rPr>
        <w:t>I</w:t>
      </w:r>
      <w:r w:rsidR="00AC40A4" w:rsidRPr="00373DA8">
        <w:rPr>
          <w:b/>
        </w:rPr>
        <w:t>V</w:t>
      </w:r>
      <w:r w:rsidRPr="00373DA8">
        <w:rPr>
          <w:b/>
        </w:rPr>
        <w:t>. Nơi nhận hồ sơ:</w:t>
      </w:r>
    </w:p>
    <w:p w:rsidR="002725D8" w:rsidRPr="00534595" w:rsidRDefault="002725D8" w:rsidP="00534595">
      <w:pPr>
        <w:ind w:firstLine="720"/>
        <w:rPr>
          <w:b/>
          <w:lang w:val="en-US"/>
        </w:rPr>
      </w:pPr>
      <w:r w:rsidRPr="00534595">
        <w:rPr>
          <w:b/>
          <w:lang w:val="en-US"/>
        </w:rPr>
        <w:t>SỞ KHOA HỌC VÀ CÔNG NGHỆ TỈNH AN GIANG</w:t>
      </w:r>
    </w:p>
    <w:p w:rsidR="002725D8" w:rsidRPr="00534595" w:rsidRDefault="002725D8" w:rsidP="00534595">
      <w:pPr>
        <w:ind w:firstLine="720"/>
        <w:rPr>
          <w:lang w:val="en-US"/>
        </w:rPr>
      </w:pPr>
      <w:r w:rsidRPr="00534595">
        <w:rPr>
          <w:lang w:val="en-US"/>
        </w:rPr>
        <w:t xml:space="preserve">Địa chỉ: </w:t>
      </w:r>
      <w:r w:rsidR="00117A8B">
        <w:rPr>
          <w:lang w:val="en-US"/>
        </w:rPr>
        <w:t xml:space="preserve">Số </w:t>
      </w:r>
      <w:r w:rsidRPr="00534595">
        <w:rPr>
          <w:lang w:val="en-US"/>
        </w:rPr>
        <w:t>269A Nguyễn Thái Học</w:t>
      </w:r>
      <w:proofErr w:type="gramStart"/>
      <w:r w:rsidRPr="00534595">
        <w:rPr>
          <w:lang w:val="en-US"/>
        </w:rPr>
        <w:t xml:space="preserve">,  </w:t>
      </w:r>
      <w:r w:rsidR="00117A8B">
        <w:rPr>
          <w:lang w:val="en-US"/>
        </w:rPr>
        <w:t>phường</w:t>
      </w:r>
      <w:proofErr w:type="gramEnd"/>
      <w:r w:rsidR="00117A8B">
        <w:rPr>
          <w:lang w:val="en-US"/>
        </w:rPr>
        <w:t xml:space="preserve"> </w:t>
      </w:r>
      <w:r w:rsidRPr="00534595">
        <w:rPr>
          <w:lang w:val="en-US"/>
        </w:rPr>
        <w:t xml:space="preserve">Mỹ Hòa, </w:t>
      </w:r>
      <w:r w:rsidR="00117A8B">
        <w:rPr>
          <w:lang w:val="en-US"/>
        </w:rPr>
        <w:t>thành phố</w:t>
      </w:r>
      <w:r w:rsidRPr="00534595">
        <w:rPr>
          <w:lang w:val="en-US"/>
        </w:rPr>
        <w:t xml:space="preserve"> Long Xuyên, </w:t>
      </w:r>
      <w:r w:rsidR="00117A8B">
        <w:rPr>
          <w:lang w:val="en-US"/>
        </w:rPr>
        <w:t xml:space="preserve">tỉnh </w:t>
      </w:r>
      <w:r w:rsidRPr="00534595">
        <w:rPr>
          <w:lang w:val="en-US"/>
        </w:rPr>
        <w:t>An Giang.</w:t>
      </w:r>
    </w:p>
    <w:p w:rsidR="002725D8" w:rsidRPr="00534595" w:rsidRDefault="00117A8B" w:rsidP="00534595">
      <w:pPr>
        <w:ind w:firstLine="720"/>
        <w:rPr>
          <w:lang w:val="en-US"/>
        </w:rPr>
      </w:pPr>
      <w:r>
        <w:rPr>
          <w:lang w:val="en-US"/>
        </w:rPr>
        <w:t>Các</w:t>
      </w:r>
      <w:r w:rsidR="002725D8" w:rsidRPr="00534595">
        <w:rPr>
          <w:lang w:val="en-US"/>
        </w:rPr>
        <w:t xml:space="preserve"> biểu mẫu liên quan được đăng trên </w:t>
      </w:r>
      <w:r w:rsidR="00D509D3">
        <w:rPr>
          <w:lang w:val="en-US"/>
        </w:rPr>
        <w:t>Cổng thông tin điện tử Sở Khoa học và Công nghệ An Giang tại địa chỉ</w:t>
      </w:r>
      <w:r w:rsidR="002725D8" w:rsidRPr="00534595">
        <w:rPr>
          <w:lang w:val="en-US"/>
        </w:rPr>
        <w:t xml:space="preserve">: </w:t>
      </w:r>
      <w:hyperlink r:id="rId8" w:history="1">
        <w:r w:rsidR="00C46CE4" w:rsidRPr="00534595">
          <w:rPr>
            <w:rStyle w:val="Hyperlink"/>
            <w:lang w:val="en-US"/>
          </w:rPr>
          <w:t>http://sokhcn.angiang.gov.vn/</w:t>
        </w:r>
      </w:hyperlink>
      <w:r w:rsidR="00C46CE4" w:rsidRPr="00534595">
        <w:rPr>
          <w:lang w:val="en-US"/>
        </w:rPr>
        <w:t xml:space="preserve">, </w:t>
      </w:r>
      <w:r w:rsidR="002725D8" w:rsidRPr="00534595">
        <w:rPr>
          <w:lang w:val="en-US"/>
        </w:rPr>
        <w:t xml:space="preserve">mục </w:t>
      </w:r>
      <w:r w:rsidR="002725D8" w:rsidRPr="00534595">
        <w:rPr>
          <w:i/>
          <w:lang w:val="en-US"/>
        </w:rPr>
        <w:t xml:space="preserve">Hoạt động </w:t>
      </w:r>
      <w:r w:rsidR="00C46CE4" w:rsidRPr="00534595">
        <w:rPr>
          <w:i/>
          <w:lang w:val="en-US"/>
        </w:rPr>
        <w:t xml:space="preserve">quản lý </w:t>
      </w:r>
      <w:r w:rsidR="002725D8" w:rsidRPr="00534595">
        <w:rPr>
          <w:i/>
          <w:lang w:val="en-US"/>
        </w:rPr>
        <w:t>KH&amp;CN</w:t>
      </w:r>
      <w:r w:rsidR="002725D8" w:rsidRPr="00534595">
        <w:rPr>
          <w:lang w:val="en-US"/>
        </w:rPr>
        <w:t>.</w:t>
      </w:r>
    </w:p>
    <w:p w:rsidR="002725D8" w:rsidRPr="00534595" w:rsidRDefault="002725D8" w:rsidP="00534595">
      <w:pPr>
        <w:ind w:firstLine="720"/>
        <w:rPr>
          <w:lang w:val="en-US"/>
        </w:rPr>
      </w:pPr>
      <w:r w:rsidRPr="00534595">
        <w:rPr>
          <w:lang w:val="en-US"/>
        </w:rPr>
        <w:t xml:space="preserve">Kết quả tuyển chọn sẽ được </w:t>
      </w:r>
      <w:r w:rsidR="00D509D3">
        <w:rPr>
          <w:lang w:val="en-US"/>
        </w:rPr>
        <w:t>công bố trên Cổng thông tin điện tử Sở Khoa học và Công nghệ An Giang</w:t>
      </w:r>
      <w:r w:rsidRPr="00534595">
        <w:rPr>
          <w:lang w:val="en-US"/>
        </w:rPr>
        <w:t xml:space="preserve"> thay cho văn bản thông báo đến từng đơn vị, cá nhân dự tuyển.</w:t>
      </w:r>
    </w:p>
    <w:p w:rsidR="00D62F9B" w:rsidRPr="008F45D7" w:rsidRDefault="002725D8" w:rsidP="008F45D7">
      <w:pPr>
        <w:ind w:firstLine="720"/>
        <w:rPr>
          <w:lang w:val="en-US"/>
        </w:rPr>
      </w:pPr>
      <w:r w:rsidRPr="00534595">
        <w:rPr>
          <w:lang w:val="en-US"/>
        </w:rPr>
        <w:t xml:space="preserve">Mọi </w:t>
      </w:r>
      <w:r w:rsidR="00C46CE4" w:rsidRPr="00534595">
        <w:rPr>
          <w:lang w:val="en-US"/>
        </w:rPr>
        <w:t>thông tin chi tiết vui lòng</w:t>
      </w:r>
      <w:r w:rsidRPr="00534595">
        <w:rPr>
          <w:lang w:val="en-US"/>
        </w:rPr>
        <w:t xml:space="preserve"> liên hệ: Phòng Quản lý khoa học, Sở Khoa học và Công nghệ tỉnh An Giang, điện thoại: 0296.3</w:t>
      </w:r>
      <w:r w:rsidR="00D509D3">
        <w:rPr>
          <w:lang w:val="en-US"/>
        </w:rPr>
        <w:t>953</w:t>
      </w:r>
      <w:r w:rsidRPr="00534595">
        <w:rPr>
          <w:lang w:val="en-US"/>
        </w:rPr>
        <w:t>.</w:t>
      </w:r>
      <w:r w:rsidR="00D509D3">
        <w:rPr>
          <w:lang w:val="en-US"/>
        </w:rPr>
        <w:t>990</w:t>
      </w:r>
      <w:r w:rsidRPr="00534595">
        <w:rPr>
          <w:lang w:val="en-US"/>
        </w:rPr>
        <w:t xml:space="preserve"> hoặ</w:t>
      </w:r>
      <w:r w:rsidR="00D509D3">
        <w:rPr>
          <w:lang w:val="en-US"/>
        </w:rPr>
        <w:t>c email</w:t>
      </w:r>
      <w:r w:rsidRPr="00534595">
        <w:rPr>
          <w:lang w:val="en-US"/>
        </w:rPr>
        <w:t xml:space="preserve">: </w:t>
      </w:r>
      <w:hyperlink r:id="rId9" w:history="1">
        <w:r w:rsidR="00C46CE4" w:rsidRPr="00534595">
          <w:rPr>
            <w:rStyle w:val="Hyperlink"/>
            <w:lang w:val="en-US"/>
          </w:rPr>
          <w:t>qlkhag@gmail.com</w:t>
        </w:r>
      </w:hyperlink>
      <w:proofErr w:type="gramStart"/>
      <w:r w:rsidR="00D509D3">
        <w:rPr>
          <w:lang w:val="en-US"/>
        </w:rPr>
        <w:t>.</w:t>
      </w:r>
      <w:r w:rsidRPr="00534595">
        <w:rPr>
          <w:lang w:val="en-US"/>
        </w:rPr>
        <w:t>/</w:t>
      </w:r>
      <w:proofErr w:type="gramEnd"/>
      <w:r w:rsidRPr="00534595">
        <w:rPr>
          <w:lang w:val="en-US"/>
        </w:rPr>
        <w:t>.</w:t>
      </w:r>
    </w:p>
    <w:p w:rsidR="00E102F4" w:rsidRPr="00534595" w:rsidRDefault="00E102F4" w:rsidP="008F45D7">
      <w:pPr>
        <w:pStyle w:val="NoSpacing"/>
        <w:rPr>
          <w:lang w:val="it-IT"/>
        </w:rPr>
      </w:pPr>
    </w:p>
    <w:tbl>
      <w:tblPr>
        <w:tblStyle w:val="TableGrid"/>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48"/>
      </w:tblGrid>
      <w:tr w:rsidR="00E102F4" w:rsidRPr="00534595" w:rsidTr="00117A8B">
        <w:trPr>
          <w:jc w:val="center"/>
        </w:trPr>
        <w:tc>
          <w:tcPr>
            <w:tcW w:w="4650" w:type="dxa"/>
          </w:tcPr>
          <w:p w:rsidR="00E102F4" w:rsidRDefault="00E102F4" w:rsidP="000B76F8">
            <w:pPr>
              <w:rPr>
                <w:b/>
                <w:i/>
                <w:sz w:val="24"/>
                <w:lang w:val="it-IT"/>
              </w:rPr>
            </w:pPr>
            <w:r w:rsidRPr="00534595">
              <w:rPr>
                <w:b/>
                <w:i/>
                <w:sz w:val="24"/>
                <w:lang w:val="it-IT"/>
              </w:rPr>
              <w:t>Nơi nhận:</w:t>
            </w:r>
          </w:p>
          <w:p w:rsidR="004D4C9C" w:rsidRDefault="004D4C9C" w:rsidP="000B76F8">
            <w:pPr>
              <w:rPr>
                <w:sz w:val="22"/>
                <w:szCs w:val="22"/>
                <w:lang w:val="it-IT"/>
              </w:rPr>
            </w:pPr>
            <w:r w:rsidRPr="001518A2">
              <w:rPr>
                <w:sz w:val="22"/>
                <w:szCs w:val="22"/>
                <w:lang w:val="it-IT"/>
              </w:rPr>
              <w:t>- Báo An Giang;</w:t>
            </w:r>
          </w:p>
          <w:p w:rsidR="00373DA8" w:rsidRDefault="00373DA8" w:rsidP="000B76F8">
            <w:pPr>
              <w:rPr>
                <w:sz w:val="22"/>
                <w:szCs w:val="22"/>
                <w:lang w:val="it-IT"/>
              </w:rPr>
            </w:pPr>
            <w:r>
              <w:rPr>
                <w:sz w:val="22"/>
                <w:szCs w:val="22"/>
                <w:lang w:val="it-IT"/>
              </w:rPr>
              <w:t xml:space="preserve">- Website tỉnh An Giang; </w:t>
            </w:r>
          </w:p>
          <w:p w:rsidR="00373DA8" w:rsidRPr="001518A2" w:rsidRDefault="00373DA8" w:rsidP="000B76F8">
            <w:pPr>
              <w:rPr>
                <w:sz w:val="22"/>
                <w:szCs w:val="22"/>
                <w:lang w:val="it-IT"/>
              </w:rPr>
            </w:pPr>
            <w:r>
              <w:rPr>
                <w:sz w:val="22"/>
                <w:szCs w:val="22"/>
                <w:lang w:val="it-IT"/>
              </w:rPr>
              <w:t>- Website Sở KHCN An Giang;</w:t>
            </w:r>
          </w:p>
          <w:p w:rsidR="00E102F4" w:rsidRDefault="00E102F4" w:rsidP="000B76F8">
            <w:pPr>
              <w:rPr>
                <w:sz w:val="22"/>
                <w:szCs w:val="22"/>
                <w:lang w:val="it-IT"/>
              </w:rPr>
            </w:pPr>
            <w:r w:rsidRPr="00534595">
              <w:rPr>
                <w:sz w:val="22"/>
                <w:szCs w:val="22"/>
                <w:lang w:val="it-IT"/>
              </w:rPr>
              <w:t xml:space="preserve">- </w:t>
            </w:r>
            <w:r w:rsidR="00C46CE4" w:rsidRPr="00534595">
              <w:rPr>
                <w:sz w:val="22"/>
                <w:szCs w:val="22"/>
                <w:lang w:val="it-IT"/>
              </w:rPr>
              <w:t>Tổ chức, cá nhân</w:t>
            </w:r>
            <w:r w:rsidR="00117A8B">
              <w:rPr>
                <w:sz w:val="22"/>
                <w:szCs w:val="22"/>
                <w:lang w:val="it-IT"/>
              </w:rPr>
              <w:t xml:space="preserve"> theo danh sách</w:t>
            </w:r>
            <w:r w:rsidRPr="00534595">
              <w:rPr>
                <w:sz w:val="22"/>
                <w:szCs w:val="22"/>
                <w:lang w:val="it-IT"/>
              </w:rPr>
              <w:t>;</w:t>
            </w:r>
          </w:p>
          <w:p w:rsidR="00D509D3" w:rsidRDefault="00D509D3" w:rsidP="000B76F8">
            <w:pPr>
              <w:rPr>
                <w:sz w:val="22"/>
                <w:szCs w:val="22"/>
                <w:lang w:val="it-IT"/>
              </w:rPr>
            </w:pPr>
            <w:r>
              <w:rPr>
                <w:sz w:val="22"/>
                <w:szCs w:val="22"/>
                <w:lang w:val="it-IT"/>
              </w:rPr>
              <w:t>- Các Sở, Ban ngành tỉnh;</w:t>
            </w:r>
          </w:p>
          <w:p w:rsidR="00D509D3" w:rsidRPr="00534595" w:rsidRDefault="00D509D3" w:rsidP="000B76F8">
            <w:pPr>
              <w:rPr>
                <w:sz w:val="22"/>
                <w:szCs w:val="22"/>
                <w:lang w:val="it-IT"/>
              </w:rPr>
            </w:pPr>
            <w:r>
              <w:rPr>
                <w:sz w:val="22"/>
                <w:szCs w:val="22"/>
                <w:lang w:val="it-IT"/>
              </w:rPr>
              <w:t>- UBND huyện, thị</w:t>
            </w:r>
            <w:r w:rsidR="00117A8B">
              <w:rPr>
                <w:sz w:val="22"/>
                <w:szCs w:val="22"/>
                <w:lang w:val="it-IT"/>
              </w:rPr>
              <w:t>, thành phố;</w:t>
            </w:r>
          </w:p>
          <w:p w:rsidR="00E102F4" w:rsidRPr="00534595" w:rsidRDefault="00E102F4" w:rsidP="000B76F8">
            <w:pPr>
              <w:rPr>
                <w:sz w:val="22"/>
                <w:szCs w:val="22"/>
                <w:lang w:val="it-IT"/>
              </w:rPr>
            </w:pPr>
            <w:r w:rsidRPr="00534595">
              <w:rPr>
                <w:sz w:val="22"/>
                <w:szCs w:val="22"/>
                <w:lang w:val="it-IT"/>
              </w:rPr>
              <w:t xml:space="preserve">- </w:t>
            </w:r>
            <w:r w:rsidR="00D509D3">
              <w:rPr>
                <w:sz w:val="22"/>
                <w:szCs w:val="22"/>
                <w:lang w:val="it-IT"/>
              </w:rPr>
              <w:t>Giám đốc, các Phó Giám đốc</w:t>
            </w:r>
            <w:r w:rsidR="00D62F9B" w:rsidRPr="00534595">
              <w:rPr>
                <w:sz w:val="22"/>
                <w:szCs w:val="22"/>
                <w:lang w:val="it-IT"/>
              </w:rPr>
              <w:t xml:space="preserve"> Sở</w:t>
            </w:r>
            <w:r w:rsidRPr="00534595">
              <w:rPr>
                <w:sz w:val="22"/>
                <w:szCs w:val="22"/>
                <w:lang w:val="it-IT"/>
              </w:rPr>
              <w:t>;</w:t>
            </w:r>
          </w:p>
          <w:p w:rsidR="00C46CE4" w:rsidRPr="00534595" w:rsidRDefault="00534595" w:rsidP="000B76F8">
            <w:pPr>
              <w:rPr>
                <w:sz w:val="22"/>
                <w:szCs w:val="22"/>
                <w:lang w:val="it-IT"/>
              </w:rPr>
            </w:pPr>
            <w:r w:rsidRPr="00534595">
              <w:rPr>
                <w:sz w:val="22"/>
                <w:szCs w:val="22"/>
                <w:lang w:val="it-IT"/>
              </w:rPr>
              <w:t xml:space="preserve">- Các phòng và </w:t>
            </w:r>
            <w:r w:rsidR="00C46CE4" w:rsidRPr="00534595">
              <w:rPr>
                <w:sz w:val="22"/>
                <w:szCs w:val="22"/>
                <w:lang w:val="it-IT"/>
              </w:rPr>
              <w:t>đơn vị trực thuộc;</w:t>
            </w:r>
          </w:p>
          <w:p w:rsidR="00E102F4" w:rsidRPr="00534595" w:rsidRDefault="003436AD" w:rsidP="000B76F8">
            <w:pPr>
              <w:rPr>
                <w:szCs w:val="26"/>
                <w:lang w:val="it-IT"/>
              </w:rPr>
            </w:pPr>
            <w:r w:rsidRPr="00534595">
              <w:rPr>
                <w:sz w:val="22"/>
                <w:szCs w:val="22"/>
                <w:lang w:val="it-IT"/>
              </w:rPr>
              <w:t>- Lưu: VT, QLKH.</w:t>
            </w:r>
          </w:p>
        </w:tc>
        <w:tc>
          <w:tcPr>
            <w:tcW w:w="4648" w:type="dxa"/>
          </w:tcPr>
          <w:p w:rsidR="00E102F4" w:rsidRPr="00534595" w:rsidRDefault="00C46CE4" w:rsidP="00E102F4">
            <w:pPr>
              <w:jc w:val="center"/>
              <w:rPr>
                <w:b/>
                <w:caps/>
                <w:szCs w:val="28"/>
                <w:lang w:val="it-IT"/>
              </w:rPr>
            </w:pPr>
            <w:r w:rsidRPr="00534595">
              <w:rPr>
                <w:b/>
                <w:caps/>
                <w:szCs w:val="28"/>
                <w:lang w:val="it-IT"/>
              </w:rPr>
              <w:t>giám đốc</w:t>
            </w:r>
          </w:p>
          <w:p w:rsidR="00055831" w:rsidRPr="00534595" w:rsidRDefault="00055831" w:rsidP="00E102F4">
            <w:pPr>
              <w:jc w:val="center"/>
              <w:rPr>
                <w:b/>
                <w:szCs w:val="28"/>
                <w:lang w:val="it-IT"/>
              </w:rPr>
            </w:pPr>
          </w:p>
          <w:p w:rsidR="00055831" w:rsidRPr="00534595" w:rsidRDefault="00055831" w:rsidP="00E102F4">
            <w:pPr>
              <w:jc w:val="center"/>
              <w:rPr>
                <w:b/>
                <w:szCs w:val="28"/>
                <w:lang w:val="it-IT"/>
              </w:rPr>
            </w:pPr>
          </w:p>
          <w:p w:rsidR="00055831" w:rsidRDefault="00055831" w:rsidP="00E102F4">
            <w:pPr>
              <w:jc w:val="center"/>
              <w:rPr>
                <w:b/>
                <w:szCs w:val="28"/>
                <w:lang w:val="it-IT"/>
              </w:rPr>
            </w:pPr>
          </w:p>
          <w:p w:rsidR="008F45D7" w:rsidRPr="00534595" w:rsidRDefault="008F45D7" w:rsidP="00E102F4">
            <w:pPr>
              <w:jc w:val="center"/>
              <w:rPr>
                <w:b/>
                <w:szCs w:val="28"/>
                <w:lang w:val="it-IT"/>
              </w:rPr>
            </w:pPr>
          </w:p>
          <w:p w:rsidR="00055831" w:rsidRPr="00534595" w:rsidRDefault="00C46CE4" w:rsidP="00E102F4">
            <w:pPr>
              <w:jc w:val="center"/>
              <w:rPr>
                <w:b/>
                <w:szCs w:val="26"/>
                <w:lang w:val="it-IT"/>
              </w:rPr>
            </w:pPr>
            <w:r w:rsidRPr="00534595">
              <w:rPr>
                <w:b/>
                <w:szCs w:val="28"/>
                <w:lang w:val="it-IT"/>
              </w:rPr>
              <w:t>Tầng Phú An</w:t>
            </w:r>
          </w:p>
        </w:tc>
      </w:tr>
    </w:tbl>
    <w:p w:rsidR="00446359" w:rsidRDefault="00446359" w:rsidP="002B4FCC">
      <w:pPr>
        <w:jc w:val="center"/>
        <w:rPr>
          <w:b/>
          <w:bCs/>
          <w:szCs w:val="28"/>
        </w:rPr>
        <w:sectPr w:rsidR="00446359" w:rsidSect="008F45D7">
          <w:headerReference w:type="default" r:id="rId10"/>
          <w:footerReference w:type="default" r:id="rId11"/>
          <w:pgSz w:w="11906" w:h="16838" w:code="9"/>
          <w:pgMar w:top="737" w:right="1134" w:bottom="454" w:left="1701" w:header="284" w:footer="567" w:gutter="0"/>
          <w:cols w:space="708"/>
          <w:titlePg/>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C55263" w:rsidTr="00C55263">
        <w:tc>
          <w:tcPr>
            <w:tcW w:w="4928" w:type="dxa"/>
          </w:tcPr>
          <w:p w:rsidR="00C55263" w:rsidRDefault="00C55263" w:rsidP="002B4FCC">
            <w:pPr>
              <w:jc w:val="center"/>
              <w:rPr>
                <w:b/>
                <w:bCs/>
                <w:szCs w:val="28"/>
                <w:lang w:val="en-US"/>
              </w:rPr>
            </w:pPr>
          </w:p>
        </w:tc>
        <w:tc>
          <w:tcPr>
            <w:tcW w:w="4929" w:type="dxa"/>
          </w:tcPr>
          <w:p w:rsidR="00C55263" w:rsidRDefault="00C55263" w:rsidP="002B4FCC">
            <w:pPr>
              <w:jc w:val="center"/>
              <w:rPr>
                <w:b/>
                <w:bCs/>
                <w:szCs w:val="28"/>
                <w:lang w:val="en-US"/>
              </w:rPr>
            </w:pPr>
            <w:r w:rsidRPr="00117A8B">
              <w:rPr>
                <w:b/>
                <w:bCs/>
                <w:szCs w:val="28"/>
              </w:rPr>
              <w:t>DANH MỤC</w:t>
            </w:r>
          </w:p>
        </w:tc>
        <w:tc>
          <w:tcPr>
            <w:tcW w:w="4929" w:type="dxa"/>
          </w:tcPr>
          <w:p w:rsidR="00C55263" w:rsidRDefault="00C55263" w:rsidP="00C55263">
            <w:pPr>
              <w:jc w:val="right"/>
              <w:rPr>
                <w:b/>
                <w:bCs/>
                <w:szCs w:val="28"/>
                <w:lang w:val="en-US"/>
              </w:rPr>
            </w:pPr>
          </w:p>
        </w:tc>
      </w:tr>
    </w:tbl>
    <w:p w:rsidR="002B4FCC" w:rsidRPr="005866C6" w:rsidRDefault="002B4FCC" w:rsidP="002B4FCC">
      <w:pPr>
        <w:spacing w:before="0"/>
        <w:jc w:val="center"/>
        <w:rPr>
          <w:bCs/>
          <w:i/>
          <w:szCs w:val="28"/>
        </w:rPr>
      </w:pPr>
      <w:r w:rsidRPr="00C407EF">
        <w:rPr>
          <w:b/>
          <w:bCs/>
          <w:szCs w:val="28"/>
        </w:rPr>
        <w:t>N</w:t>
      </w:r>
      <w:r w:rsidRPr="006E226F">
        <w:rPr>
          <w:b/>
          <w:bCs/>
          <w:szCs w:val="28"/>
        </w:rPr>
        <w:t>hiệm vụ khoa học và công nghệ cấp</w:t>
      </w:r>
      <w:r>
        <w:rPr>
          <w:b/>
          <w:bCs/>
          <w:szCs w:val="28"/>
        </w:rPr>
        <w:t xml:space="preserve"> tỉnh năm 202</w:t>
      </w:r>
      <w:r w:rsidR="00117A8B" w:rsidRPr="00117A8B">
        <w:rPr>
          <w:b/>
          <w:bCs/>
          <w:szCs w:val="28"/>
        </w:rPr>
        <w:t>1</w:t>
      </w:r>
      <w:r w:rsidRPr="006E226F">
        <w:rPr>
          <w:b/>
          <w:bCs/>
          <w:szCs w:val="28"/>
        </w:rPr>
        <w:t xml:space="preserve"> - 202</w:t>
      </w:r>
      <w:r w:rsidR="00117A8B" w:rsidRPr="00117A8B">
        <w:rPr>
          <w:b/>
          <w:bCs/>
          <w:szCs w:val="28"/>
        </w:rPr>
        <w:t>2</w:t>
      </w:r>
      <w:r w:rsidR="008F45D7" w:rsidRPr="004D4C9C">
        <w:rPr>
          <w:b/>
          <w:bCs/>
          <w:szCs w:val="28"/>
        </w:rPr>
        <w:t xml:space="preserve"> </w:t>
      </w:r>
      <w:r w:rsidR="00117A8B" w:rsidRPr="00117A8B">
        <w:rPr>
          <w:b/>
          <w:bCs/>
          <w:szCs w:val="28"/>
        </w:rPr>
        <w:t xml:space="preserve">thông báo </w:t>
      </w:r>
      <w:r w:rsidRPr="00C407EF">
        <w:rPr>
          <w:b/>
          <w:bCs/>
          <w:szCs w:val="28"/>
        </w:rPr>
        <w:t>tuyển chọ</w:t>
      </w:r>
      <w:r w:rsidR="00AF0890">
        <w:rPr>
          <w:b/>
          <w:bCs/>
          <w:szCs w:val="28"/>
        </w:rPr>
        <w:t>n</w:t>
      </w:r>
      <w:r w:rsidR="00AF0890" w:rsidRPr="004D4C9C">
        <w:rPr>
          <w:b/>
          <w:bCs/>
          <w:szCs w:val="28"/>
        </w:rPr>
        <w:br/>
      </w:r>
      <w:r w:rsidRPr="00C407EF">
        <w:rPr>
          <w:b/>
          <w:bCs/>
          <w:szCs w:val="28"/>
        </w:rPr>
        <w:t>tổ</w:t>
      </w:r>
      <w:r>
        <w:rPr>
          <w:b/>
          <w:bCs/>
          <w:szCs w:val="28"/>
        </w:rPr>
        <w:t xml:space="preserve"> ch</w:t>
      </w:r>
      <w:r w:rsidRPr="00C407EF">
        <w:rPr>
          <w:b/>
          <w:bCs/>
          <w:szCs w:val="28"/>
        </w:rPr>
        <w:t>ức</w:t>
      </w:r>
      <w:r w:rsidR="00AF0890" w:rsidRPr="004D4C9C">
        <w:rPr>
          <w:b/>
          <w:bCs/>
          <w:szCs w:val="28"/>
        </w:rPr>
        <w:t xml:space="preserve"> chủ trì</w:t>
      </w:r>
      <w:r w:rsidRPr="00C407EF">
        <w:rPr>
          <w:b/>
          <w:bCs/>
          <w:szCs w:val="28"/>
        </w:rPr>
        <w:t>, cá nhân chủ</w:t>
      </w:r>
      <w:r w:rsidR="00AF0890">
        <w:rPr>
          <w:b/>
          <w:bCs/>
          <w:szCs w:val="28"/>
        </w:rPr>
        <w:t xml:space="preserve"> </w:t>
      </w:r>
      <w:r w:rsidR="00AF0890" w:rsidRPr="004D4C9C">
        <w:rPr>
          <w:b/>
          <w:bCs/>
          <w:szCs w:val="28"/>
        </w:rPr>
        <w:t>nhiệm</w:t>
      </w:r>
      <w:r w:rsidR="008F45D7" w:rsidRPr="004D4C9C">
        <w:rPr>
          <w:b/>
          <w:bCs/>
          <w:szCs w:val="28"/>
        </w:rPr>
        <w:t xml:space="preserve"> (lần 2)</w:t>
      </w:r>
      <w:r w:rsidRPr="00C407EF">
        <w:rPr>
          <w:b/>
          <w:bCs/>
          <w:szCs w:val="28"/>
        </w:rPr>
        <w:br/>
      </w:r>
      <w:r>
        <w:rPr>
          <w:bCs/>
          <w:i/>
          <w:szCs w:val="28"/>
        </w:rPr>
        <w:t>(Kèm theo Thông báo số</w:t>
      </w:r>
      <w:r w:rsidR="000E766A" w:rsidRPr="000E766A">
        <w:rPr>
          <w:bCs/>
          <w:i/>
          <w:szCs w:val="28"/>
        </w:rPr>
        <w:t xml:space="preserve"> </w:t>
      </w:r>
      <w:r w:rsidR="00054435" w:rsidRPr="00054435">
        <w:rPr>
          <w:bCs/>
          <w:i/>
          <w:szCs w:val="28"/>
        </w:rPr>
        <w:t>1533</w:t>
      </w:r>
      <w:r w:rsidR="00054435">
        <w:rPr>
          <w:bCs/>
          <w:i/>
          <w:szCs w:val="28"/>
        </w:rPr>
        <w:t>/TB-SKHCN ngày</w:t>
      </w:r>
      <w:r w:rsidR="00054435" w:rsidRPr="00054435">
        <w:rPr>
          <w:bCs/>
          <w:i/>
          <w:szCs w:val="28"/>
        </w:rPr>
        <w:t xml:space="preserve"> 06</w:t>
      </w:r>
      <w:r w:rsidR="000E766A">
        <w:rPr>
          <w:bCs/>
          <w:i/>
          <w:szCs w:val="28"/>
        </w:rPr>
        <w:t>/</w:t>
      </w:r>
      <w:r w:rsidR="008F45D7" w:rsidRPr="004D4C9C">
        <w:rPr>
          <w:bCs/>
          <w:i/>
          <w:szCs w:val="28"/>
        </w:rPr>
        <w:t>1</w:t>
      </w:r>
      <w:r w:rsidR="00581DC0" w:rsidRPr="004D4C9C">
        <w:rPr>
          <w:bCs/>
          <w:i/>
          <w:szCs w:val="28"/>
        </w:rPr>
        <w:t>2</w:t>
      </w:r>
      <w:r w:rsidR="000E766A">
        <w:rPr>
          <w:bCs/>
          <w:i/>
          <w:szCs w:val="28"/>
        </w:rPr>
        <w:t>/20</w:t>
      </w:r>
      <w:r w:rsidR="000E766A" w:rsidRPr="000E766A">
        <w:rPr>
          <w:bCs/>
          <w:i/>
          <w:szCs w:val="28"/>
        </w:rPr>
        <w:t>21</w:t>
      </w:r>
      <w:r w:rsidR="00AF0890" w:rsidRPr="004D4C9C">
        <w:rPr>
          <w:bCs/>
          <w:i/>
          <w:szCs w:val="28"/>
        </w:rPr>
        <w:br/>
      </w:r>
      <w:r>
        <w:rPr>
          <w:bCs/>
          <w:i/>
          <w:szCs w:val="28"/>
        </w:rPr>
        <w:t>của Sở Khoa học và Công nghệ)</w:t>
      </w:r>
    </w:p>
    <w:p w:rsidR="002B4FCC" w:rsidRDefault="002B4FCC" w:rsidP="002B4FCC">
      <w:pPr>
        <w:rPr>
          <w:szCs w:val="28"/>
        </w:rPr>
      </w:pPr>
      <w:r>
        <w:rPr>
          <w:noProof/>
          <w:szCs w:val="28"/>
          <w:lang w:val="en-US"/>
        </w:rPr>
        <mc:AlternateContent>
          <mc:Choice Requires="wps">
            <w:drawing>
              <wp:anchor distT="0" distB="0" distL="114300" distR="114300" simplePos="0" relativeHeight="251665408" behindDoc="0" locked="0" layoutInCell="1" allowOverlap="1" wp14:anchorId="3AD33CD3" wp14:editId="54D130DC">
                <wp:simplePos x="0" y="0"/>
                <wp:positionH relativeFrom="column">
                  <wp:align>center</wp:align>
                </wp:positionH>
                <wp:positionV relativeFrom="paragraph">
                  <wp:posOffset>107950</wp:posOffset>
                </wp:positionV>
                <wp:extent cx="90000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7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" strokecolor="black [3213]"/>
            </w:pict>
          </mc:Fallback>
        </mc:AlternateContent>
      </w:r>
    </w:p>
    <w:tbl>
      <w:tblPr>
        <w:tblStyle w:val="TableGrid"/>
        <w:tblW w:w="14850" w:type="dxa"/>
        <w:tblLook w:val="04A0" w:firstRow="1" w:lastRow="0" w:firstColumn="1" w:lastColumn="0" w:noHBand="0" w:noVBand="1"/>
      </w:tblPr>
      <w:tblGrid>
        <w:gridCol w:w="564"/>
        <w:gridCol w:w="1812"/>
        <w:gridCol w:w="4395"/>
        <w:gridCol w:w="5670"/>
        <w:gridCol w:w="2409"/>
      </w:tblGrid>
      <w:tr w:rsidR="00446359" w:rsidRPr="00446359" w:rsidTr="00C856A9">
        <w:trPr>
          <w:tblHeader/>
        </w:trPr>
        <w:tc>
          <w:tcPr>
            <w:tcW w:w="564" w:type="dxa"/>
            <w:vAlign w:val="center"/>
          </w:tcPr>
          <w:p w:rsidR="00446359" w:rsidRPr="00446359" w:rsidRDefault="00446359" w:rsidP="00446359">
            <w:pPr>
              <w:spacing w:before="60" w:after="60"/>
              <w:jc w:val="center"/>
              <w:rPr>
                <w:b/>
                <w:sz w:val="24"/>
                <w:lang w:val="it-IT"/>
              </w:rPr>
            </w:pPr>
            <w:r w:rsidRPr="00446359">
              <w:rPr>
                <w:b/>
                <w:sz w:val="24"/>
                <w:lang w:val="it-IT"/>
              </w:rPr>
              <w:t>TT</w:t>
            </w:r>
          </w:p>
        </w:tc>
        <w:tc>
          <w:tcPr>
            <w:tcW w:w="1812" w:type="dxa"/>
            <w:vAlign w:val="center"/>
          </w:tcPr>
          <w:p w:rsidR="00446359" w:rsidRPr="00446359" w:rsidRDefault="00446359" w:rsidP="00446359">
            <w:pPr>
              <w:spacing w:before="60" w:after="60"/>
              <w:jc w:val="center"/>
              <w:rPr>
                <w:b/>
                <w:sz w:val="24"/>
                <w:lang w:val="it-IT"/>
              </w:rPr>
            </w:pPr>
            <w:r w:rsidRPr="00446359">
              <w:rPr>
                <w:b/>
                <w:sz w:val="24"/>
                <w:lang w:val="it-IT"/>
              </w:rPr>
              <w:t>Tên nhiệm vụ</w:t>
            </w:r>
          </w:p>
        </w:tc>
        <w:tc>
          <w:tcPr>
            <w:tcW w:w="4395" w:type="dxa"/>
            <w:vAlign w:val="center"/>
          </w:tcPr>
          <w:p w:rsidR="00446359" w:rsidRPr="00446359" w:rsidRDefault="00446359" w:rsidP="00446359">
            <w:pPr>
              <w:spacing w:before="60" w:after="60"/>
              <w:jc w:val="center"/>
              <w:rPr>
                <w:b/>
                <w:sz w:val="24"/>
                <w:lang w:val="it-IT"/>
              </w:rPr>
            </w:pPr>
            <w:r w:rsidRPr="00446359">
              <w:rPr>
                <w:b/>
                <w:sz w:val="24"/>
                <w:lang w:val="it-IT"/>
              </w:rPr>
              <w:t>Mục tiêu</w:t>
            </w:r>
          </w:p>
        </w:tc>
        <w:tc>
          <w:tcPr>
            <w:tcW w:w="5670" w:type="dxa"/>
            <w:vAlign w:val="center"/>
          </w:tcPr>
          <w:p w:rsidR="00446359" w:rsidRPr="00446359" w:rsidRDefault="00446359" w:rsidP="00446359">
            <w:pPr>
              <w:spacing w:before="60" w:after="60"/>
              <w:jc w:val="center"/>
              <w:rPr>
                <w:b/>
                <w:sz w:val="24"/>
                <w:lang w:val="it-IT"/>
              </w:rPr>
            </w:pPr>
            <w:r w:rsidRPr="00446359">
              <w:rPr>
                <w:b/>
                <w:sz w:val="24"/>
                <w:lang w:val="it-IT"/>
              </w:rPr>
              <w:t>Kết quả dự kiến</w:t>
            </w:r>
          </w:p>
        </w:tc>
        <w:tc>
          <w:tcPr>
            <w:tcW w:w="2409" w:type="dxa"/>
            <w:vAlign w:val="center"/>
          </w:tcPr>
          <w:p w:rsidR="00446359" w:rsidRPr="00446359" w:rsidRDefault="00446359" w:rsidP="00446359">
            <w:pPr>
              <w:spacing w:before="60" w:after="60"/>
              <w:jc w:val="center"/>
              <w:rPr>
                <w:b/>
                <w:sz w:val="24"/>
                <w:lang w:val="it-IT"/>
              </w:rPr>
            </w:pPr>
            <w:r w:rsidRPr="00446359">
              <w:rPr>
                <w:b/>
                <w:sz w:val="24"/>
                <w:lang w:val="it-IT"/>
              </w:rPr>
              <w:t>Ghi chú</w:t>
            </w:r>
          </w:p>
        </w:tc>
      </w:tr>
      <w:tr w:rsidR="00446359" w:rsidRPr="00446359" w:rsidTr="00C856A9">
        <w:tc>
          <w:tcPr>
            <w:tcW w:w="564" w:type="dxa"/>
          </w:tcPr>
          <w:p w:rsidR="00446359" w:rsidRPr="00446359" w:rsidRDefault="008F45D7" w:rsidP="00DE2D1D">
            <w:pPr>
              <w:spacing w:before="60" w:after="60"/>
              <w:jc w:val="center"/>
              <w:rPr>
                <w:sz w:val="24"/>
                <w:lang w:val="it-IT"/>
              </w:rPr>
            </w:pPr>
            <w:r>
              <w:rPr>
                <w:sz w:val="24"/>
                <w:lang w:val="it-IT"/>
              </w:rPr>
              <w:t>1</w:t>
            </w:r>
          </w:p>
        </w:tc>
        <w:tc>
          <w:tcPr>
            <w:tcW w:w="1812" w:type="dxa"/>
          </w:tcPr>
          <w:p w:rsidR="00446359" w:rsidRPr="00446359" w:rsidRDefault="00446359" w:rsidP="00DE2D1D">
            <w:pPr>
              <w:spacing w:before="60" w:after="60"/>
              <w:rPr>
                <w:sz w:val="24"/>
                <w:lang w:val="it-IT"/>
              </w:rPr>
            </w:pPr>
            <w:r w:rsidRPr="00446359">
              <w:rPr>
                <w:sz w:val="24"/>
                <w:lang w:val="it-IT"/>
              </w:rPr>
              <w:t>So sánh năng suất, chất lượng giống lúa (Jasmine 85, LT1, LT18 và OM18) với các giống lúa chất lượng cao trong và ngoài nước ở điều kiện canh tác tại tỉnh An Giang</w:t>
            </w:r>
          </w:p>
        </w:tc>
        <w:tc>
          <w:tcPr>
            <w:tcW w:w="4395" w:type="dxa"/>
          </w:tcPr>
          <w:p w:rsidR="00446359" w:rsidRPr="00446359" w:rsidRDefault="00446359" w:rsidP="00DE2D1D">
            <w:pPr>
              <w:spacing w:before="60" w:after="60"/>
              <w:rPr>
                <w:sz w:val="24"/>
                <w:lang w:val="it-IT"/>
              </w:rPr>
            </w:pPr>
            <w:r w:rsidRPr="00446359">
              <w:rPr>
                <w:b/>
                <w:sz w:val="24"/>
                <w:lang w:val="it-IT"/>
              </w:rPr>
              <w:t>1.</w:t>
            </w:r>
            <w:r w:rsidRPr="00446359">
              <w:rPr>
                <w:sz w:val="24"/>
                <w:lang w:val="it-IT"/>
              </w:rPr>
              <w:t xml:space="preserve"> Phân tích điểm mạnh, điểm yếu, cơ hội, thách thức của các giống lúa (Jasmine 85, LT1, LT18 và OM18) tỉnh An Giang so với các giống lúa có gạo ngon trong và ngoài nước,… Từ đó, đề xuất các giải pháp phát huy thế mạnh, khắc phục các hạn chế.</w:t>
            </w:r>
          </w:p>
          <w:p w:rsidR="00446359" w:rsidRPr="00446359" w:rsidRDefault="00446359" w:rsidP="00DE2D1D">
            <w:pPr>
              <w:spacing w:before="60" w:after="60"/>
              <w:rPr>
                <w:sz w:val="24"/>
                <w:lang w:val="it-IT"/>
              </w:rPr>
            </w:pPr>
            <w:r w:rsidRPr="00446359">
              <w:rPr>
                <w:b/>
                <w:sz w:val="24"/>
                <w:lang w:val="it-IT"/>
              </w:rPr>
              <w:t>2.</w:t>
            </w:r>
            <w:r w:rsidRPr="00446359">
              <w:rPr>
                <w:sz w:val="24"/>
                <w:lang w:val="it-IT"/>
              </w:rPr>
              <w:t xml:space="preserve"> Thu thập, tuyển chọn được 1-2 giống mới, năng suất cao, thời gian sinh trưởng ngắn, chống chịu sâu bệnh hại chính (rầy nâu, bệnh đạo ôn, bạc lá), chất lượng gạo tốt (lấy giống lúa Jasmine 85 làm cơ sở so sánh) và thích ứng với điều kiện canh tác, thổ nhưỡng của tỉnh An Giang.</w:t>
            </w:r>
          </w:p>
        </w:tc>
        <w:tc>
          <w:tcPr>
            <w:tcW w:w="5670" w:type="dxa"/>
          </w:tcPr>
          <w:p w:rsidR="00446359" w:rsidRPr="00446359" w:rsidRDefault="00446359" w:rsidP="00DE2D1D">
            <w:pPr>
              <w:spacing w:before="60" w:after="60"/>
              <w:rPr>
                <w:iCs/>
                <w:sz w:val="24"/>
                <w:lang w:val="it-IT"/>
              </w:rPr>
            </w:pPr>
            <w:r w:rsidRPr="00446359">
              <w:rPr>
                <w:iCs/>
                <w:sz w:val="24"/>
                <w:lang w:val="it-IT"/>
              </w:rPr>
              <w:t>- 01-02 giống lúa năng suất cao, chất lượng gạo tốt phù hợp trong điều kiện canh tác tỉnh An Giang.</w:t>
            </w:r>
          </w:p>
          <w:p w:rsidR="00446359" w:rsidRPr="00446359" w:rsidRDefault="00446359" w:rsidP="00DE2D1D">
            <w:pPr>
              <w:spacing w:before="60" w:after="60"/>
              <w:rPr>
                <w:iCs/>
                <w:sz w:val="24"/>
                <w:lang w:val="it-IT"/>
              </w:rPr>
            </w:pPr>
            <w:r w:rsidRPr="00446359">
              <w:rPr>
                <w:iCs/>
                <w:sz w:val="24"/>
                <w:lang w:val="it-IT"/>
              </w:rPr>
              <w:t xml:space="preserve">- </w:t>
            </w:r>
            <w:r w:rsidRPr="00446359">
              <w:rPr>
                <w:b/>
                <w:iCs/>
                <w:sz w:val="24"/>
                <w:lang w:val="it-IT"/>
              </w:rPr>
              <w:t>Chuyên đề 1:</w:t>
            </w:r>
            <w:r w:rsidRPr="00446359">
              <w:rPr>
                <w:iCs/>
                <w:sz w:val="24"/>
                <w:lang w:val="it-IT"/>
              </w:rPr>
              <w:t xml:space="preserve"> So sánh đặc điểm hình thái, năng suất và các yếu tố cầu thành năng suất, mùi thơm của tập đoàn giống lúa được chọn với </w:t>
            </w:r>
            <w:r w:rsidRPr="00446359">
              <w:rPr>
                <w:sz w:val="24"/>
                <w:lang w:val="it-IT"/>
              </w:rPr>
              <w:t xml:space="preserve">các giống lúa </w:t>
            </w:r>
            <w:r w:rsidRPr="00446359">
              <w:rPr>
                <w:bCs/>
                <w:sz w:val="24"/>
              </w:rPr>
              <w:t>(</w:t>
            </w:r>
            <w:r w:rsidRPr="00446359">
              <w:rPr>
                <w:sz w:val="24"/>
              </w:rPr>
              <w:t>Jasmine 85, LT1, LT18 và OM18)</w:t>
            </w:r>
            <w:r w:rsidRPr="00446359">
              <w:rPr>
                <w:sz w:val="24"/>
                <w:lang w:val="it-IT"/>
              </w:rPr>
              <w:t>.</w:t>
            </w:r>
          </w:p>
          <w:p w:rsidR="00446359" w:rsidRPr="00446359" w:rsidRDefault="00446359" w:rsidP="00DE2D1D">
            <w:pPr>
              <w:spacing w:before="60" w:after="60"/>
              <w:rPr>
                <w:iCs/>
                <w:spacing w:val="-4"/>
                <w:sz w:val="24"/>
                <w:lang w:val="it-IT"/>
              </w:rPr>
            </w:pPr>
            <w:r w:rsidRPr="00446359">
              <w:rPr>
                <w:iCs/>
                <w:spacing w:val="-4"/>
                <w:sz w:val="24"/>
                <w:lang w:val="it-IT"/>
              </w:rPr>
              <w:t xml:space="preserve">- </w:t>
            </w:r>
            <w:r w:rsidRPr="00446359">
              <w:rPr>
                <w:b/>
                <w:iCs/>
                <w:spacing w:val="-4"/>
                <w:sz w:val="24"/>
                <w:lang w:val="it-IT"/>
              </w:rPr>
              <w:t>Chuyên đề 2:</w:t>
            </w:r>
            <w:r w:rsidRPr="00446359">
              <w:rPr>
                <w:iCs/>
                <w:spacing w:val="-4"/>
                <w:sz w:val="24"/>
                <w:lang w:val="it-IT"/>
              </w:rPr>
              <w:t xml:space="preserve"> So sánh khả năng chống chịu sâu, bệnh của tập đoàn giống được chọn với </w:t>
            </w:r>
            <w:r w:rsidRPr="00446359">
              <w:rPr>
                <w:spacing w:val="-4"/>
                <w:sz w:val="24"/>
                <w:lang w:val="it-IT"/>
              </w:rPr>
              <w:t xml:space="preserve">các giống lúa </w:t>
            </w:r>
            <w:r w:rsidRPr="00446359">
              <w:rPr>
                <w:bCs/>
                <w:spacing w:val="-4"/>
                <w:sz w:val="24"/>
              </w:rPr>
              <w:t>(</w:t>
            </w:r>
            <w:r w:rsidRPr="00446359">
              <w:rPr>
                <w:spacing w:val="-4"/>
                <w:sz w:val="24"/>
              </w:rPr>
              <w:t>Jasmine 85, LT1, LT18 và OM18)</w:t>
            </w:r>
          </w:p>
          <w:p w:rsidR="00446359" w:rsidRPr="00446359" w:rsidRDefault="00446359" w:rsidP="00DE2D1D">
            <w:pPr>
              <w:spacing w:before="60" w:after="60"/>
              <w:rPr>
                <w:iCs/>
                <w:spacing w:val="-4"/>
                <w:sz w:val="24"/>
                <w:lang w:val="it-IT"/>
              </w:rPr>
            </w:pPr>
            <w:r w:rsidRPr="00446359">
              <w:rPr>
                <w:iCs/>
                <w:spacing w:val="-4"/>
                <w:sz w:val="24"/>
                <w:lang w:val="it-IT"/>
              </w:rPr>
              <w:t xml:space="preserve">- </w:t>
            </w:r>
            <w:r w:rsidRPr="00446359">
              <w:rPr>
                <w:b/>
                <w:iCs/>
                <w:spacing w:val="-4"/>
                <w:sz w:val="24"/>
                <w:lang w:val="it-IT"/>
              </w:rPr>
              <w:t>Chuyên 3:</w:t>
            </w:r>
            <w:r w:rsidRPr="00446359">
              <w:rPr>
                <w:iCs/>
                <w:spacing w:val="-4"/>
                <w:sz w:val="24"/>
                <w:lang w:val="it-IT"/>
              </w:rPr>
              <w:t xml:space="preserve"> So sánh đánh giá chất lượng xay xát, hàm lượng amylose, mùi thơm, nhiệt độ hóa hồ, độ phá hủy kiềm của tập đoàn giống lúa với </w:t>
            </w:r>
            <w:r w:rsidRPr="00446359">
              <w:rPr>
                <w:spacing w:val="-4"/>
                <w:sz w:val="24"/>
                <w:lang w:val="it-IT"/>
              </w:rPr>
              <w:t xml:space="preserve">các giống lúa </w:t>
            </w:r>
            <w:r w:rsidRPr="00446359">
              <w:rPr>
                <w:bCs/>
                <w:spacing w:val="-4"/>
                <w:sz w:val="24"/>
              </w:rPr>
              <w:t>(</w:t>
            </w:r>
            <w:r w:rsidRPr="00446359">
              <w:rPr>
                <w:spacing w:val="-4"/>
                <w:sz w:val="24"/>
              </w:rPr>
              <w:t>Jasmine 85, LT1, LT18 và OM18)</w:t>
            </w:r>
            <w:r w:rsidRPr="00446359">
              <w:rPr>
                <w:spacing w:val="-4"/>
                <w:sz w:val="24"/>
                <w:lang w:val="it-IT"/>
              </w:rPr>
              <w:t>.</w:t>
            </w:r>
          </w:p>
          <w:p w:rsidR="00446359" w:rsidRPr="00446359" w:rsidRDefault="00446359" w:rsidP="00DE2D1D">
            <w:pPr>
              <w:spacing w:before="60" w:after="60"/>
              <w:rPr>
                <w:iCs/>
                <w:sz w:val="24"/>
                <w:lang w:val="it-IT"/>
              </w:rPr>
            </w:pPr>
            <w:r w:rsidRPr="00446359">
              <w:rPr>
                <w:iCs/>
                <w:sz w:val="24"/>
                <w:lang w:val="it-IT"/>
              </w:rPr>
              <w:t xml:space="preserve">- </w:t>
            </w:r>
            <w:r w:rsidRPr="00446359">
              <w:rPr>
                <w:b/>
                <w:iCs/>
                <w:sz w:val="24"/>
                <w:lang w:val="it-IT"/>
              </w:rPr>
              <w:t>Chuyên đề 4:</w:t>
            </w:r>
            <w:r w:rsidRPr="00446359">
              <w:rPr>
                <w:iCs/>
                <w:sz w:val="24"/>
                <w:lang w:val="it-IT"/>
              </w:rPr>
              <w:t xml:space="preserve"> Đánh giá khả năng thích ứng của các giống mới thu thập ở điều kiện canh tác tại An Giang.</w:t>
            </w:r>
          </w:p>
          <w:p w:rsidR="00446359" w:rsidRPr="00006B2C" w:rsidRDefault="00446359" w:rsidP="00DE2D1D">
            <w:pPr>
              <w:spacing w:before="60" w:after="60"/>
              <w:rPr>
                <w:spacing w:val="-2"/>
                <w:sz w:val="24"/>
                <w:lang w:val="it-IT"/>
              </w:rPr>
            </w:pPr>
            <w:r w:rsidRPr="00006B2C">
              <w:rPr>
                <w:spacing w:val="-2"/>
                <w:sz w:val="24"/>
                <w:lang w:val="it-IT"/>
              </w:rPr>
              <w:t xml:space="preserve">- </w:t>
            </w:r>
            <w:r w:rsidRPr="00006B2C">
              <w:rPr>
                <w:b/>
                <w:spacing w:val="-2"/>
                <w:sz w:val="24"/>
                <w:lang w:val="it-IT"/>
              </w:rPr>
              <w:t>Chuyên đề 5:</w:t>
            </w:r>
            <w:r w:rsidRPr="00006B2C">
              <w:rPr>
                <w:spacing w:val="-2"/>
                <w:sz w:val="24"/>
                <w:lang w:val="it-IT"/>
              </w:rPr>
              <w:t xml:space="preserve"> Báo cáo phân tích điểm mạnh, điểm yếu, cơ hội, thách thức của các giống lúa (</w:t>
            </w:r>
            <w:r w:rsidRPr="00006B2C">
              <w:rPr>
                <w:spacing w:val="-2"/>
                <w:sz w:val="24"/>
              </w:rPr>
              <w:t>Jasmine 85, LT1, LT18 và OM18)</w:t>
            </w:r>
            <w:r w:rsidRPr="00006B2C">
              <w:rPr>
                <w:spacing w:val="-2"/>
                <w:sz w:val="24"/>
                <w:lang w:val="it-IT"/>
              </w:rPr>
              <w:t xml:space="preserve"> tỉnh An Giang so với các giống lúa có gạo ngon trong và ngoài nước,… Và đề xuất các giải pháp phát huy thế mạnh, khắc phục các hạn chế.</w:t>
            </w:r>
          </w:p>
        </w:tc>
        <w:tc>
          <w:tcPr>
            <w:tcW w:w="2409" w:type="dxa"/>
          </w:tcPr>
          <w:p w:rsidR="00446359" w:rsidRPr="00446359" w:rsidRDefault="00446359" w:rsidP="00DE2D1D">
            <w:pPr>
              <w:spacing w:before="60" w:after="60"/>
              <w:rPr>
                <w:sz w:val="24"/>
                <w:lang w:val="it-IT"/>
              </w:rPr>
            </w:pPr>
          </w:p>
        </w:tc>
      </w:tr>
      <w:tr w:rsidR="00446359" w:rsidRPr="00446359" w:rsidTr="00C856A9">
        <w:tc>
          <w:tcPr>
            <w:tcW w:w="564" w:type="dxa"/>
          </w:tcPr>
          <w:p w:rsidR="00446359" w:rsidRPr="00446359" w:rsidRDefault="008F45D7" w:rsidP="00DE2D1D">
            <w:pPr>
              <w:spacing w:before="60" w:after="60"/>
              <w:jc w:val="center"/>
              <w:rPr>
                <w:sz w:val="24"/>
                <w:lang w:val="it-IT"/>
              </w:rPr>
            </w:pPr>
            <w:r>
              <w:rPr>
                <w:sz w:val="24"/>
                <w:lang w:val="it-IT"/>
              </w:rPr>
              <w:t>2</w:t>
            </w:r>
          </w:p>
        </w:tc>
        <w:tc>
          <w:tcPr>
            <w:tcW w:w="1812" w:type="dxa"/>
          </w:tcPr>
          <w:p w:rsidR="00446359" w:rsidRPr="00446359" w:rsidRDefault="00446359" w:rsidP="00DE2D1D">
            <w:pPr>
              <w:spacing w:before="60" w:after="60"/>
              <w:rPr>
                <w:sz w:val="24"/>
                <w:lang w:val="it-IT"/>
              </w:rPr>
            </w:pPr>
            <w:r w:rsidRPr="00446359">
              <w:rPr>
                <w:sz w:val="24"/>
                <w:lang w:val="it-IT"/>
              </w:rPr>
              <w:t xml:space="preserve">Nghiên cứu xây dựng mô hình du lịch cộng đồng và điểm </w:t>
            </w:r>
            <w:r w:rsidRPr="00446359">
              <w:rPr>
                <w:sz w:val="24"/>
                <w:lang w:val="it-IT"/>
              </w:rPr>
              <w:lastRenderedPageBreak/>
              <w:t>du lịch đạt tiêu chuẩn phân hạng sản phẩm OCOP 4 sao, định hướng nâng hạng 5 sao tại tỉnh An Giang</w:t>
            </w:r>
          </w:p>
        </w:tc>
        <w:tc>
          <w:tcPr>
            <w:tcW w:w="4395" w:type="dxa"/>
          </w:tcPr>
          <w:p w:rsidR="00446359" w:rsidRPr="00446359" w:rsidRDefault="00446359" w:rsidP="00DE2D1D">
            <w:pPr>
              <w:spacing w:before="60" w:after="60"/>
              <w:rPr>
                <w:b/>
                <w:sz w:val="24"/>
                <w:lang w:val="it-IT"/>
              </w:rPr>
            </w:pPr>
            <w:r w:rsidRPr="00446359">
              <w:rPr>
                <w:b/>
                <w:sz w:val="24"/>
                <w:lang w:val="it-IT"/>
              </w:rPr>
              <w:lastRenderedPageBreak/>
              <w:t>1. Mục tiêu chung:</w:t>
            </w:r>
          </w:p>
          <w:p w:rsidR="00446359" w:rsidRPr="00446359" w:rsidRDefault="00446359" w:rsidP="00DE2D1D">
            <w:pPr>
              <w:spacing w:before="60" w:after="60"/>
              <w:rPr>
                <w:sz w:val="24"/>
                <w:lang w:val="it-IT"/>
              </w:rPr>
            </w:pPr>
            <w:r w:rsidRPr="00446359">
              <w:rPr>
                <w:sz w:val="24"/>
                <w:lang w:val="it-IT"/>
              </w:rPr>
              <w:t xml:space="preserve">- Định hướng các hoạt động du lịch cộng đồng và điểm du lịch theo tiêu chuẩn Bộ </w:t>
            </w:r>
            <w:r w:rsidRPr="00446359">
              <w:rPr>
                <w:sz w:val="24"/>
                <w:lang w:val="it-IT"/>
              </w:rPr>
              <w:lastRenderedPageBreak/>
              <w:t xml:space="preserve">tiêu chí OCOP; </w:t>
            </w:r>
          </w:p>
          <w:p w:rsidR="00446359" w:rsidRPr="00446359" w:rsidRDefault="00446359" w:rsidP="00DE2D1D">
            <w:pPr>
              <w:spacing w:before="60" w:after="60"/>
              <w:rPr>
                <w:sz w:val="24"/>
                <w:lang w:val="it-IT"/>
              </w:rPr>
            </w:pPr>
            <w:r w:rsidRPr="00446359">
              <w:rPr>
                <w:sz w:val="24"/>
                <w:lang w:val="it-IT"/>
              </w:rPr>
              <w:t>- Nghiên cứu hoàn thiện các điều kiện để đáp ứng yêu cầu phân hạng sản phẩm OCOP 4 sao góp phần nâng cao nhận thức trong phát triển du lịch cộng đồng, cải thiện chất lượng dịch vụ du lịch cộng đồng gắn với phát huy giá trị văn hóa truyền thống và các thế mạnh địa phương.</w:t>
            </w:r>
          </w:p>
          <w:p w:rsidR="00446359" w:rsidRPr="00446359" w:rsidRDefault="00446359" w:rsidP="00DE2D1D">
            <w:pPr>
              <w:spacing w:before="60" w:after="60"/>
              <w:rPr>
                <w:b/>
                <w:sz w:val="24"/>
                <w:lang w:val="it-IT"/>
              </w:rPr>
            </w:pPr>
            <w:r w:rsidRPr="00446359">
              <w:rPr>
                <w:b/>
                <w:sz w:val="24"/>
                <w:lang w:val="it-IT"/>
              </w:rPr>
              <w:t>2. Mục tiêu cụ thể:</w:t>
            </w:r>
          </w:p>
          <w:p w:rsidR="00446359" w:rsidRPr="00446359" w:rsidRDefault="00446359" w:rsidP="00DE2D1D">
            <w:pPr>
              <w:spacing w:before="60" w:after="60"/>
              <w:rPr>
                <w:sz w:val="24"/>
                <w:lang w:val="it-IT"/>
              </w:rPr>
            </w:pPr>
            <w:r w:rsidRPr="00446359">
              <w:rPr>
                <w:sz w:val="24"/>
                <w:lang w:val="it-IT"/>
              </w:rPr>
              <w:t>- Xây dựng sổ tay hoặc cẩm nang hướng dẫn chi tiết thực hiện bộ tiêu chí đánh giá, phân hạng đối với Bộ sản phẩm dịch vụ du lịch cộng đồng và điểm du lịch theo 5 phân hạng trong Chương trình OCOP để làm cơ sở để triển khai áp dụng phù hợp với điều kiện của từng địa phương, đơn vị.</w:t>
            </w:r>
          </w:p>
          <w:p w:rsidR="00446359" w:rsidRPr="00446359" w:rsidRDefault="00446359" w:rsidP="00DE2D1D">
            <w:pPr>
              <w:spacing w:before="60" w:after="60"/>
              <w:rPr>
                <w:sz w:val="24"/>
                <w:lang w:val="it-IT"/>
              </w:rPr>
            </w:pPr>
            <w:r w:rsidRPr="00446359">
              <w:rPr>
                <w:sz w:val="24"/>
                <w:lang w:val="it-IT"/>
              </w:rPr>
              <w:t>- Xây dựng ít nhất 01 mô hình du lịch cộng đồng đáp ứng tiêu chí đánh giá, phân hạng sản phẩm OCOP 4 sao theo Bộ sản phẩm dịch vụ du lịch cộng đồng và điểm du lịch; định hướng nâng hạng 5 sao. Đồng thời thiết kế một mô hình sa bàn giúp hiểu rõ chi tiết mô hình và các mối quan hệ kết nối vùng, giao thông.</w:t>
            </w:r>
          </w:p>
          <w:p w:rsidR="00446359" w:rsidRPr="00446359" w:rsidRDefault="00446359" w:rsidP="00DE2D1D">
            <w:pPr>
              <w:spacing w:before="60" w:after="60"/>
              <w:rPr>
                <w:sz w:val="24"/>
                <w:lang w:val="it-IT"/>
              </w:rPr>
            </w:pPr>
            <w:r w:rsidRPr="00446359">
              <w:rPr>
                <w:sz w:val="24"/>
                <w:lang w:val="it-IT"/>
              </w:rPr>
              <w:t>- Có doanh nghiệp cam kết tham gia đối ứng 70% vốn đầu tư xây dựng mô hình du lịch cộng đồng.</w:t>
            </w:r>
          </w:p>
        </w:tc>
        <w:tc>
          <w:tcPr>
            <w:tcW w:w="5670" w:type="dxa"/>
          </w:tcPr>
          <w:p w:rsidR="00446359" w:rsidRPr="00446359" w:rsidRDefault="00446359" w:rsidP="00DE2D1D">
            <w:pPr>
              <w:spacing w:before="60" w:after="60"/>
              <w:rPr>
                <w:sz w:val="24"/>
                <w:lang w:val="it-IT"/>
              </w:rPr>
            </w:pPr>
            <w:r w:rsidRPr="00446359">
              <w:rPr>
                <w:b/>
                <w:sz w:val="24"/>
                <w:lang w:val="it-IT"/>
              </w:rPr>
              <w:lastRenderedPageBreak/>
              <w:t>1.</w:t>
            </w:r>
            <w:r w:rsidRPr="00446359">
              <w:rPr>
                <w:sz w:val="24"/>
                <w:lang w:val="it-IT"/>
              </w:rPr>
              <w:t xml:space="preserve"> Báo cáo tổng hợp và báo cáo tóm tắt kết quả nghiên cứu.</w:t>
            </w:r>
          </w:p>
          <w:p w:rsidR="00446359" w:rsidRPr="00446359" w:rsidRDefault="00446359" w:rsidP="00DE2D1D">
            <w:pPr>
              <w:spacing w:before="60" w:after="60"/>
              <w:rPr>
                <w:sz w:val="24"/>
                <w:lang w:val="it-IT"/>
              </w:rPr>
            </w:pPr>
            <w:r w:rsidRPr="00446359">
              <w:rPr>
                <w:b/>
                <w:sz w:val="24"/>
                <w:lang w:val="it-IT"/>
              </w:rPr>
              <w:t>2.</w:t>
            </w:r>
            <w:r w:rsidRPr="00446359">
              <w:rPr>
                <w:sz w:val="24"/>
                <w:lang w:val="it-IT"/>
              </w:rPr>
              <w:t xml:space="preserve"> Các báo cáo chuyên đề liên quan đến nội dung đề tài.</w:t>
            </w:r>
          </w:p>
          <w:p w:rsidR="00446359" w:rsidRPr="00446359" w:rsidRDefault="00446359" w:rsidP="00DE2D1D">
            <w:pPr>
              <w:spacing w:before="60" w:after="60"/>
              <w:rPr>
                <w:sz w:val="24"/>
                <w:lang w:val="it-IT"/>
              </w:rPr>
            </w:pPr>
            <w:r w:rsidRPr="00446359">
              <w:rPr>
                <w:b/>
                <w:sz w:val="24"/>
                <w:lang w:val="it-IT"/>
              </w:rPr>
              <w:lastRenderedPageBreak/>
              <w:t>3.</w:t>
            </w:r>
            <w:r w:rsidRPr="00446359">
              <w:rPr>
                <w:sz w:val="24"/>
                <w:lang w:val="it-IT"/>
              </w:rPr>
              <w:t xml:space="preserve"> Báo cáo tổng hợp đánh giá khả năng áp dụng Bộ tiêu chí OCOP trong hiện trạng hoạt động du lịch cộng đồng và điểm du lịch của An Giang.</w:t>
            </w:r>
          </w:p>
          <w:p w:rsidR="00446359" w:rsidRPr="00446359" w:rsidRDefault="00446359" w:rsidP="00DE2D1D">
            <w:pPr>
              <w:spacing w:before="60" w:after="60"/>
              <w:rPr>
                <w:sz w:val="24"/>
                <w:lang w:val="it-IT"/>
              </w:rPr>
            </w:pPr>
            <w:r w:rsidRPr="00446359">
              <w:rPr>
                <w:b/>
                <w:sz w:val="24"/>
                <w:lang w:val="it-IT"/>
              </w:rPr>
              <w:t>4.</w:t>
            </w:r>
            <w:r w:rsidRPr="00446359">
              <w:rPr>
                <w:sz w:val="24"/>
                <w:lang w:val="it-IT"/>
              </w:rPr>
              <w:t xml:space="preserve"> Báo cáo kết quả khảo sát và đề xuất phương án lựa chọn xây dựng mô hình du lịch cộng đồng và điểm du lịch.</w:t>
            </w:r>
          </w:p>
          <w:p w:rsidR="00446359" w:rsidRPr="00446359" w:rsidRDefault="00446359" w:rsidP="00DE2D1D">
            <w:pPr>
              <w:spacing w:before="60" w:after="60"/>
              <w:rPr>
                <w:sz w:val="24"/>
                <w:lang w:val="it-IT"/>
              </w:rPr>
            </w:pPr>
            <w:r w:rsidRPr="00446359">
              <w:rPr>
                <w:b/>
                <w:sz w:val="24"/>
                <w:lang w:val="it-IT"/>
              </w:rPr>
              <w:t>5.</w:t>
            </w:r>
            <w:r w:rsidRPr="00446359">
              <w:rPr>
                <w:sz w:val="24"/>
                <w:lang w:val="it-IT"/>
              </w:rPr>
              <w:t xml:space="preserve"> Sổ tay hoặc cẩm nang hướng dẫn chi tiết thực hiện bộ tiêu chí đánh giá, phân hạng đối với Bộ sản phẩm dịch vụ du lịch cộng đồng và điểm du lịch theo 5 phân hạng trong Chương trình OCOP.</w:t>
            </w:r>
          </w:p>
          <w:p w:rsidR="00446359" w:rsidRPr="00446359" w:rsidRDefault="00446359" w:rsidP="00DE2D1D">
            <w:pPr>
              <w:spacing w:before="60" w:after="60"/>
              <w:rPr>
                <w:sz w:val="24"/>
                <w:lang w:val="it-IT"/>
              </w:rPr>
            </w:pPr>
            <w:r w:rsidRPr="00446359">
              <w:rPr>
                <w:b/>
                <w:sz w:val="24"/>
                <w:lang w:val="it-IT"/>
              </w:rPr>
              <w:t>6.</w:t>
            </w:r>
            <w:r w:rsidRPr="00446359">
              <w:rPr>
                <w:sz w:val="24"/>
                <w:lang w:val="it-IT"/>
              </w:rPr>
              <w:t xml:space="preserve"> Mô hình du lịch cộng đồng và điểm du lịch được Hội đồng thẩm định đánh giá, phân hạng sản phẩm OCOP 4 sao theo Chương trình OCOP.</w:t>
            </w:r>
          </w:p>
          <w:p w:rsidR="00446359" w:rsidRPr="00446359" w:rsidRDefault="00446359" w:rsidP="00DE2D1D">
            <w:pPr>
              <w:spacing w:before="60" w:after="60"/>
              <w:rPr>
                <w:sz w:val="24"/>
                <w:lang w:val="it-IT"/>
              </w:rPr>
            </w:pPr>
            <w:r w:rsidRPr="00446359">
              <w:rPr>
                <w:b/>
                <w:sz w:val="24"/>
                <w:lang w:val="it-IT"/>
              </w:rPr>
              <w:t>7.</w:t>
            </w:r>
            <w:r w:rsidRPr="00446359">
              <w:rPr>
                <w:sz w:val="24"/>
                <w:lang w:val="it-IT"/>
              </w:rPr>
              <w:t xml:space="preserve"> Kế hoạch 05 năm đầu tư khai thác và phát triển mô hình du lịch cộng đồng và điểm du lịch.</w:t>
            </w:r>
          </w:p>
          <w:p w:rsidR="00446359" w:rsidRPr="00446359" w:rsidRDefault="00446359" w:rsidP="00DE2D1D">
            <w:pPr>
              <w:spacing w:before="60" w:after="60"/>
              <w:rPr>
                <w:sz w:val="24"/>
                <w:lang w:val="it-IT"/>
              </w:rPr>
            </w:pPr>
            <w:r w:rsidRPr="00446359">
              <w:rPr>
                <w:b/>
                <w:sz w:val="24"/>
                <w:lang w:val="it-IT"/>
              </w:rPr>
              <w:t>8.</w:t>
            </w:r>
            <w:r w:rsidRPr="00446359">
              <w:rPr>
                <w:sz w:val="24"/>
                <w:lang w:val="it-IT"/>
              </w:rPr>
              <w:t xml:space="preserve"> 01 lớp đào tạo nâng cao năng lực cho người dân và cán bộ cơ sở trong quản lý và triển khai mô hình.</w:t>
            </w:r>
          </w:p>
          <w:p w:rsidR="00446359" w:rsidRPr="00446359" w:rsidRDefault="00446359" w:rsidP="00DE2D1D">
            <w:pPr>
              <w:spacing w:before="60" w:after="60"/>
              <w:rPr>
                <w:sz w:val="24"/>
                <w:lang w:val="it-IT"/>
              </w:rPr>
            </w:pPr>
            <w:r w:rsidRPr="00446359">
              <w:rPr>
                <w:b/>
                <w:sz w:val="24"/>
                <w:lang w:val="it-IT"/>
              </w:rPr>
              <w:t>9.</w:t>
            </w:r>
            <w:r w:rsidRPr="00446359">
              <w:rPr>
                <w:sz w:val="24"/>
                <w:lang w:val="it-IT"/>
              </w:rPr>
              <w:t xml:space="preserve"> 01 sa bàn thể hiện chi tiết mô hình du lịch cộng đồng và điểm du lịch, các mối quan hệ kết nối vùng, giao thông.</w:t>
            </w:r>
          </w:p>
        </w:tc>
        <w:tc>
          <w:tcPr>
            <w:tcW w:w="2409" w:type="dxa"/>
          </w:tcPr>
          <w:p w:rsidR="00446359" w:rsidRPr="00446359" w:rsidRDefault="00446359" w:rsidP="00DE2D1D">
            <w:pPr>
              <w:spacing w:before="60" w:after="60"/>
              <w:rPr>
                <w:color w:val="FF0000"/>
                <w:sz w:val="24"/>
                <w:lang w:val="it-IT"/>
              </w:rPr>
            </w:pPr>
          </w:p>
        </w:tc>
      </w:tr>
    </w:tbl>
    <w:p w:rsidR="00C856A9" w:rsidRPr="0068499F" w:rsidRDefault="00446359" w:rsidP="002B4FCC">
      <w:pPr>
        <w:rPr>
          <w:szCs w:val="28"/>
          <w:lang w:val="en-US"/>
        </w:rPr>
      </w:pPr>
      <w:r w:rsidRPr="004D4C9C">
        <w:rPr>
          <w:szCs w:val="28"/>
        </w:rPr>
        <w:lastRenderedPageBreak/>
        <w:tab/>
        <w:t xml:space="preserve">Tổng cộng </w:t>
      </w:r>
      <w:r w:rsidR="008F45D7" w:rsidRPr="004D4C9C">
        <w:rPr>
          <w:szCs w:val="28"/>
        </w:rPr>
        <w:t>0</w:t>
      </w:r>
      <w:r w:rsidR="0068499F">
        <w:rPr>
          <w:szCs w:val="28"/>
          <w:lang w:val="en-US"/>
        </w:rPr>
        <w:t>2</w:t>
      </w:r>
      <w:r w:rsidRPr="004D4C9C">
        <w:rPr>
          <w:szCs w:val="28"/>
        </w:rPr>
        <w:t xml:space="preserve"> nhiệm vụ</w:t>
      </w:r>
      <w:r w:rsidR="0068499F">
        <w:rPr>
          <w:szCs w:val="28"/>
        </w:rPr>
        <w:t>./</w:t>
      </w:r>
      <w:r w:rsidR="0068499F">
        <w:rPr>
          <w:szCs w:val="28"/>
          <w:lang w:val="en-US"/>
        </w:rPr>
        <w:t>.</w:t>
      </w:r>
    </w:p>
    <w:sectPr w:rsidR="00C856A9" w:rsidRPr="0068499F" w:rsidSect="00117A8B">
      <w:pgSz w:w="16838" w:h="11906" w:orient="landscape" w:code="9"/>
      <w:pgMar w:top="1134" w:right="1134"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81" w:rsidRDefault="00DC0881" w:rsidP="00F405A4">
      <w:pPr>
        <w:spacing w:before="0"/>
      </w:pPr>
      <w:r>
        <w:separator/>
      </w:r>
    </w:p>
  </w:endnote>
  <w:endnote w:type="continuationSeparator" w:id="0">
    <w:p w:rsidR="00DC0881" w:rsidRDefault="00DC0881" w:rsidP="00F40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4" w:rsidRPr="00F405A4" w:rsidRDefault="00F405A4" w:rsidP="00F405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81" w:rsidRDefault="00DC0881" w:rsidP="00F405A4">
      <w:pPr>
        <w:spacing w:before="0"/>
      </w:pPr>
      <w:r>
        <w:separator/>
      </w:r>
    </w:p>
  </w:footnote>
  <w:footnote w:type="continuationSeparator" w:id="0">
    <w:p w:rsidR="00DC0881" w:rsidRDefault="00DC0881" w:rsidP="00F405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18795"/>
      <w:docPartObj>
        <w:docPartGallery w:val="Page Numbers (Top of Page)"/>
        <w:docPartUnique/>
      </w:docPartObj>
    </w:sdtPr>
    <w:sdtEndPr>
      <w:rPr>
        <w:noProof/>
        <w:sz w:val="24"/>
      </w:rPr>
    </w:sdtEndPr>
    <w:sdtContent>
      <w:p w:rsidR="00CD743B" w:rsidRPr="00C46CE4" w:rsidRDefault="00CD743B" w:rsidP="00CD743B">
        <w:pPr>
          <w:pStyle w:val="Header"/>
          <w:jc w:val="center"/>
          <w:rPr>
            <w:sz w:val="24"/>
          </w:rPr>
        </w:pPr>
        <w:r w:rsidRPr="00C46CE4">
          <w:rPr>
            <w:sz w:val="24"/>
          </w:rPr>
          <w:fldChar w:fldCharType="begin"/>
        </w:r>
        <w:r w:rsidRPr="00C46CE4">
          <w:rPr>
            <w:sz w:val="24"/>
          </w:rPr>
          <w:instrText xml:space="preserve"> PAGE   \* MERGEFORMAT </w:instrText>
        </w:r>
        <w:r w:rsidRPr="00C46CE4">
          <w:rPr>
            <w:sz w:val="24"/>
          </w:rPr>
          <w:fldChar w:fldCharType="separate"/>
        </w:r>
        <w:r w:rsidR="00C01FDE">
          <w:rPr>
            <w:noProof/>
            <w:sz w:val="24"/>
          </w:rPr>
          <w:t>2</w:t>
        </w:r>
        <w:r w:rsidRPr="00C46CE4">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D8"/>
    <w:rsid w:val="00003E79"/>
    <w:rsid w:val="00006B2C"/>
    <w:rsid w:val="00024A5A"/>
    <w:rsid w:val="000344C4"/>
    <w:rsid w:val="0005114B"/>
    <w:rsid w:val="00054435"/>
    <w:rsid w:val="00055831"/>
    <w:rsid w:val="0009380F"/>
    <w:rsid w:val="000A2012"/>
    <w:rsid w:val="000B76F8"/>
    <w:rsid w:val="000D2BA7"/>
    <w:rsid w:val="000E766A"/>
    <w:rsid w:val="000F14EE"/>
    <w:rsid w:val="00117A8B"/>
    <w:rsid w:val="001518A2"/>
    <w:rsid w:val="00163D93"/>
    <w:rsid w:val="00165CA9"/>
    <w:rsid w:val="00196CCE"/>
    <w:rsid w:val="00217021"/>
    <w:rsid w:val="002725D8"/>
    <w:rsid w:val="002A3163"/>
    <w:rsid w:val="002A32B6"/>
    <w:rsid w:val="002B4FCC"/>
    <w:rsid w:val="002E0A09"/>
    <w:rsid w:val="003436AD"/>
    <w:rsid w:val="0036594D"/>
    <w:rsid w:val="00373DA8"/>
    <w:rsid w:val="0038314E"/>
    <w:rsid w:val="003A5CC9"/>
    <w:rsid w:val="003B0BC4"/>
    <w:rsid w:val="003C5588"/>
    <w:rsid w:val="00445621"/>
    <w:rsid w:val="00446359"/>
    <w:rsid w:val="0045601F"/>
    <w:rsid w:val="00476FBF"/>
    <w:rsid w:val="004D4C9C"/>
    <w:rsid w:val="004F1CC0"/>
    <w:rsid w:val="0051593E"/>
    <w:rsid w:val="00534595"/>
    <w:rsid w:val="005409CB"/>
    <w:rsid w:val="0055277F"/>
    <w:rsid w:val="00581DC0"/>
    <w:rsid w:val="005877EA"/>
    <w:rsid w:val="00592662"/>
    <w:rsid w:val="005A7C23"/>
    <w:rsid w:val="005B74BA"/>
    <w:rsid w:val="005E1025"/>
    <w:rsid w:val="006041A4"/>
    <w:rsid w:val="006059F1"/>
    <w:rsid w:val="00611E46"/>
    <w:rsid w:val="00640F03"/>
    <w:rsid w:val="00656554"/>
    <w:rsid w:val="00656910"/>
    <w:rsid w:val="00682DE1"/>
    <w:rsid w:val="0068499F"/>
    <w:rsid w:val="00693138"/>
    <w:rsid w:val="006F06C1"/>
    <w:rsid w:val="007405D9"/>
    <w:rsid w:val="00757A86"/>
    <w:rsid w:val="00832561"/>
    <w:rsid w:val="00840495"/>
    <w:rsid w:val="008758B2"/>
    <w:rsid w:val="00876ECC"/>
    <w:rsid w:val="008A052C"/>
    <w:rsid w:val="008B10F8"/>
    <w:rsid w:val="008F45D7"/>
    <w:rsid w:val="009604DA"/>
    <w:rsid w:val="00962C31"/>
    <w:rsid w:val="00974D6E"/>
    <w:rsid w:val="00992F5E"/>
    <w:rsid w:val="00993563"/>
    <w:rsid w:val="009B52E7"/>
    <w:rsid w:val="009C6764"/>
    <w:rsid w:val="009D0E41"/>
    <w:rsid w:val="009E2367"/>
    <w:rsid w:val="009F2E9F"/>
    <w:rsid w:val="009F2EE3"/>
    <w:rsid w:val="00A84015"/>
    <w:rsid w:val="00AA0DD8"/>
    <w:rsid w:val="00AA2E09"/>
    <w:rsid w:val="00AB738D"/>
    <w:rsid w:val="00AC40A4"/>
    <w:rsid w:val="00AF0890"/>
    <w:rsid w:val="00B012A1"/>
    <w:rsid w:val="00B42779"/>
    <w:rsid w:val="00B520FF"/>
    <w:rsid w:val="00B61586"/>
    <w:rsid w:val="00B732FD"/>
    <w:rsid w:val="00B92AA1"/>
    <w:rsid w:val="00B97A32"/>
    <w:rsid w:val="00BD5E79"/>
    <w:rsid w:val="00C01FDE"/>
    <w:rsid w:val="00C06FF2"/>
    <w:rsid w:val="00C13C4F"/>
    <w:rsid w:val="00C46CE4"/>
    <w:rsid w:val="00C54CC5"/>
    <w:rsid w:val="00C55263"/>
    <w:rsid w:val="00C856A9"/>
    <w:rsid w:val="00CD743B"/>
    <w:rsid w:val="00D025BA"/>
    <w:rsid w:val="00D364F9"/>
    <w:rsid w:val="00D47099"/>
    <w:rsid w:val="00D509D3"/>
    <w:rsid w:val="00D522FF"/>
    <w:rsid w:val="00D62F9B"/>
    <w:rsid w:val="00D72DEA"/>
    <w:rsid w:val="00D76807"/>
    <w:rsid w:val="00D803B5"/>
    <w:rsid w:val="00DC0881"/>
    <w:rsid w:val="00DE1832"/>
    <w:rsid w:val="00E025C5"/>
    <w:rsid w:val="00E102F4"/>
    <w:rsid w:val="00E3426B"/>
    <w:rsid w:val="00E87BDE"/>
    <w:rsid w:val="00EA14CA"/>
    <w:rsid w:val="00EA5B16"/>
    <w:rsid w:val="00EB5DA4"/>
    <w:rsid w:val="00ED7355"/>
    <w:rsid w:val="00F15FCB"/>
    <w:rsid w:val="00F24FF4"/>
    <w:rsid w:val="00F405A4"/>
    <w:rsid w:val="00F653D6"/>
    <w:rsid w:val="00F7031A"/>
    <w:rsid w:val="00F86C55"/>
    <w:rsid w:val="00FC4A63"/>
    <w:rsid w:val="00FE14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6"/>
        <w:szCs w:val="24"/>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4"/>
    <w:pPr>
      <w:spacing w:line="240" w:lineRule="auto"/>
    </w:pPr>
    <w:rPr>
      <w:sz w:val="28"/>
    </w:rPr>
  </w:style>
  <w:style w:type="paragraph" w:styleId="Heading1">
    <w:name w:val="heading 1"/>
    <w:basedOn w:val="Normal"/>
    <w:next w:val="Normal"/>
    <w:link w:val="Heading1Char"/>
    <w:uiPriority w:val="9"/>
    <w:qFormat/>
    <w:rsid w:val="00757A86"/>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65CA9"/>
    <w:pPr>
      <w:keepNext/>
      <w:keepLines/>
      <w:ind w:firstLine="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165CA9"/>
    <w:pPr>
      <w:keepNext/>
      <w:keepLines/>
      <w:ind w:firstLine="72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165CA9"/>
    <w:pPr>
      <w:keepNext/>
      <w:keepLines/>
      <w:ind w:firstLine="720"/>
      <w:outlineLvl w:val="3"/>
    </w:pPr>
    <w:rPr>
      <w:rFonts w:eastAsiaTheme="majorEastAsia" w:cstheme="majorBidi"/>
      <w:b/>
      <w:bCs/>
      <w:iCs/>
      <w:spacing w:val="-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91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5A4"/>
    <w:pPr>
      <w:tabs>
        <w:tab w:val="center" w:pos="4680"/>
        <w:tab w:val="right" w:pos="9360"/>
      </w:tabs>
      <w:spacing w:before="0"/>
    </w:pPr>
  </w:style>
  <w:style w:type="character" w:customStyle="1" w:styleId="HeaderChar">
    <w:name w:val="Header Char"/>
    <w:basedOn w:val="DefaultParagraphFont"/>
    <w:link w:val="Header"/>
    <w:uiPriority w:val="99"/>
    <w:rsid w:val="00F405A4"/>
  </w:style>
  <w:style w:type="paragraph" w:styleId="Footer">
    <w:name w:val="footer"/>
    <w:basedOn w:val="Normal"/>
    <w:link w:val="FooterChar"/>
    <w:uiPriority w:val="99"/>
    <w:unhideWhenUsed/>
    <w:rsid w:val="00F405A4"/>
    <w:pPr>
      <w:tabs>
        <w:tab w:val="center" w:pos="4680"/>
        <w:tab w:val="right" w:pos="9360"/>
      </w:tabs>
      <w:spacing w:before="0"/>
    </w:pPr>
  </w:style>
  <w:style w:type="character" w:customStyle="1" w:styleId="FooterChar">
    <w:name w:val="Footer Char"/>
    <w:basedOn w:val="DefaultParagraphFont"/>
    <w:link w:val="Footer"/>
    <w:uiPriority w:val="99"/>
    <w:rsid w:val="00F405A4"/>
  </w:style>
  <w:style w:type="character" w:customStyle="1" w:styleId="Heading1Char">
    <w:name w:val="Heading 1 Char"/>
    <w:basedOn w:val="DefaultParagraphFont"/>
    <w:link w:val="Heading1"/>
    <w:uiPriority w:val="9"/>
    <w:rsid w:val="00757A86"/>
    <w:rPr>
      <w:rFonts w:eastAsiaTheme="majorEastAsia" w:cstheme="majorBidi"/>
      <w:b/>
      <w:bCs/>
      <w:sz w:val="28"/>
      <w:szCs w:val="28"/>
    </w:rPr>
  </w:style>
  <w:style w:type="character" w:customStyle="1" w:styleId="Heading2Char">
    <w:name w:val="Heading 2 Char"/>
    <w:basedOn w:val="DefaultParagraphFont"/>
    <w:link w:val="Heading2"/>
    <w:uiPriority w:val="9"/>
    <w:rsid w:val="00165CA9"/>
    <w:rPr>
      <w:rFonts w:eastAsiaTheme="majorEastAsia" w:cstheme="majorBidi"/>
      <w:b/>
      <w:bCs/>
      <w:sz w:val="28"/>
      <w:szCs w:val="26"/>
    </w:rPr>
  </w:style>
  <w:style w:type="character" w:customStyle="1" w:styleId="Heading3Char">
    <w:name w:val="Heading 3 Char"/>
    <w:basedOn w:val="DefaultParagraphFont"/>
    <w:link w:val="Heading3"/>
    <w:uiPriority w:val="9"/>
    <w:rsid w:val="00165CA9"/>
    <w:rPr>
      <w:rFonts w:eastAsiaTheme="majorEastAsia" w:cstheme="majorBidi"/>
      <w:b/>
      <w:bCs/>
      <w:sz w:val="28"/>
    </w:rPr>
  </w:style>
  <w:style w:type="character" w:customStyle="1" w:styleId="Heading4Char">
    <w:name w:val="Heading 4 Char"/>
    <w:basedOn w:val="DefaultParagraphFont"/>
    <w:link w:val="Heading4"/>
    <w:uiPriority w:val="9"/>
    <w:rsid w:val="00165CA9"/>
    <w:rPr>
      <w:rFonts w:eastAsiaTheme="majorEastAsia" w:cstheme="majorBidi"/>
      <w:b/>
      <w:bCs/>
      <w:iCs/>
      <w:spacing w:val="-6"/>
      <w:sz w:val="28"/>
      <w:lang w:val="en-US"/>
    </w:rPr>
  </w:style>
  <w:style w:type="character" w:styleId="Hyperlink">
    <w:name w:val="Hyperlink"/>
    <w:basedOn w:val="DefaultParagraphFont"/>
    <w:uiPriority w:val="99"/>
    <w:unhideWhenUsed/>
    <w:rsid w:val="00C46CE4"/>
    <w:rPr>
      <w:color w:val="0000FF" w:themeColor="hyperlink"/>
      <w:u w:val="single"/>
    </w:rPr>
  </w:style>
  <w:style w:type="paragraph" w:styleId="NoSpacing">
    <w:name w:val="No Spacing"/>
    <w:uiPriority w:val="1"/>
    <w:qFormat/>
    <w:rsid w:val="008F45D7"/>
    <w:pPr>
      <w:spacing w:before="0" w:line="240" w:lineRule="auto"/>
    </w:pPr>
    <w:rPr>
      <w:sz w:val="28"/>
    </w:rPr>
  </w:style>
  <w:style w:type="paragraph" w:styleId="BalloonText">
    <w:name w:val="Balloon Text"/>
    <w:basedOn w:val="Normal"/>
    <w:link w:val="BalloonTextChar"/>
    <w:uiPriority w:val="99"/>
    <w:semiHidden/>
    <w:unhideWhenUsed/>
    <w:rsid w:val="000544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6"/>
        <w:szCs w:val="24"/>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4"/>
    <w:pPr>
      <w:spacing w:line="240" w:lineRule="auto"/>
    </w:pPr>
    <w:rPr>
      <w:sz w:val="28"/>
    </w:rPr>
  </w:style>
  <w:style w:type="paragraph" w:styleId="Heading1">
    <w:name w:val="heading 1"/>
    <w:basedOn w:val="Normal"/>
    <w:next w:val="Normal"/>
    <w:link w:val="Heading1Char"/>
    <w:uiPriority w:val="9"/>
    <w:qFormat/>
    <w:rsid w:val="00757A86"/>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65CA9"/>
    <w:pPr>
      <w:keepNext/>
      <w:keepLines/>
      <w:ind w:firstLine="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165CA9"/>
    <w:pPr>
      <w:keepNext/>
      <w:keepLines/>
      <w:ind w:firstLine="72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165CA9"/>
    <w:pPr>
      <w:keepNext/>
      <w:keepLines/>
      <w:ind w:firstLine="720"/>
      <w:outlineLvl w:val="3"/>
    </w:pPr>
    <w:rPr>
      <w:rFonts w:eastAsiaTheme="majorEastAsia" w:cstheme="majorBidi"/>
      <w:b/>
      <w:bCs/>
      <w:iCs/>
      <w:spacing w:val="-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91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5A4"/>
    <w:pPr>
      <w:tabs>
        <w:tab w:val="center" w:pos="4680"/>
        <w:tab w:val="right" w:pos="9360"/>
      </w:tabs>
      <w:spacing w:before="0"/>
    </w:pPr>
  </w:style>
  <w:style w:type="character" w:customStyle="1" w:styleId="HeaderChar">
    <w:name w:val="Header Char"/>
    <w:basedOn w:val="DefaultParagraphFont"/>
    <w:link w:val="Header"/>
    <w:uiPriority w:val="99"/>
    <w:rsid w:val="00F405A4"/>
  </w:style>
  <w:style w:type="paragraph" w:styleId="Footer">
    <w:name w:val="footer"/>
    <w:basedOn w:val="Normal"/>
    <w:link w:val="FooterChar"/>
    <w:uiPriority w:val="99"/>
    <w:unhideWhenUsed/>
    <w:rsid w:val="00F405A4"/>
    <w:pPr>
      <w:tabs>
        <w:tab w:val="center" w:pos="4680"/>
        <w:tab w:val="right" w:pos="9360"/>
      </w:tabs>
      <w:spacing w:before="0"/>
    </w:pPr>
  </w:style>
  <w:style w:type="character" w:customStyle="1" w:styleId="FooterChar">
    <w:name w:val="Footer Char"/>
    <w:basedOn w:val="DefaultParagraphFont"/>
    <w:link w:val="Footer"/>
    <w:uiPriority w:val="99"/>
    <w:rsid w:val="00F405A4"/>
  </w:style>
  <w:style w:type="character" w:customStyle="1" w:styleId="Heading1Char">
    <w:name w:val="Heading 1 Char"/>
    <w:basedOn w:val="DefaultParagraphFont"/>
    <w:link w:val="Heading1"/>
    <w:uiPriority w:val="9"/>
    <w:rsid w:val="00757A86"/>
    <w:rPr>
      <w:rFonts w:eastAsiaTheme="majorEastAsia" w:cstheme="majorBidi"/>
      <w:b/>
      <w:bCs/>
      <w:sz w:val="28"/>
      <w:szCs w:val="28"/>
    </w:rPr>
  </w:style>
  <w:style w:type="character" w:customStyle="1" w:styleId="Heading2Char">
    <w:name w:val="Heading 2 Char"/>
    <w:basedOn w:val="DefaultParagraphFont"/>
    <w:link w:val="Heading2"/>
    <w:uiPriority w:val="9"/>
    <w:rsid w:val="00165CA9"/>
    <w:rPr>
      <w:rFonts w:eastAsiaTheme="majorEastAsia" w:cstheme="majorBidi"/>
      <w:b/>
      <w:bCs/>
      <w:sz w:val="28"/>
      <w:szCs w:val="26"/>
    </w:rPr>
  </w:style>
  <w:style w:type="character" w:customStyle="1" w:styleId="Heading3Char">
    <w:name w:val="Heading 3 Char"/>
    <w:basedOn w:val="DefaultParagraphFont"/>
    <w:link w:val="Heading3"/>
    <w:uiPriority w:val="9"/>
    <w:rsid w:val="00165CA9"/>
    <w:rPr>
      <w:rFonts w:eastAsiaTheme="majorEastAsia" w:cstheme="majorBidi"/>
      <w:b/>
      <w:bCs/>
      <w:sz w:val="28"/>
    </w:rPr>
  </w:style>
  <w:style w:type="character" w:customStyle="1" w:styleId="Heading4Char">
    <w:name w:val="Heading 4 Char"/>
    <w:basedOn w:val="DefaultParagraphFont"/>
    <w:link w:val="Heading4"/>
    <w:uiPriority w:val="9"/>
    <w:rsid w:val="00165CA9"/>
    <w:rPr>
      <w:rFonts w:eastAsiaTheme="majorEastAsia" w:cstheme="majorBidi"/>
      <w:b/>
      <w:bCs/>
      <w:iCs/>
      <w:spacing w:val="-6"/>
      <w:sz w:val="28"/>
      <w:lang w:val="en-US"/>
    </w:rPr>
  </w:style>
  <w:style w:type="character" w:styleId="Hyperlink">
    <w:name w:val="Hyperlink"/>
    <w:basedOn w:val="DefaultParagraphFont"/>
    <w:uiPriority w:val="99"/>
    <w:unhideWhenUsed/>
    <w:rsid w:val="00C46CE4"/>
    <w:rPr>
      <w:color w:val="0000FF" w:themeColor="hyperlink"/>
      <w:u w:val="single"/>
    </w:rPr>
  </w:style>
  <w:style w:type="paragraph" w:styleId="NoSpacing">
    <w:name w:val="No Spacing"/>
    <w:uiPriority w:val="1"/>
    <w:qFormat/>
    <w:rsid w:val="008F45D7"/>
    <w:pPr>
      <w:spacing w:before="0" w:line="240" w:lineRule="auto"/>
    </w:pPr>
    <w:rPr>
      <w:sz w:val="28"/>
    </w:rPr>
  </w:style>
  <w:style w:type="paragraph" w:styleId="BalloonText">
    <w:name w:val="Balloon Text"/>
    <w:basedOn w:val="Normal"/>
    <w:link w:val="BalloonTextChar"/>
    <w:uiPriority w:val="99"/>
    <w:semiHidden/>
    <w:unhideWhenUsed/>
    <w:rsid w:val="000544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hcn.angiang.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lkha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Template\Template%20Bao%20ca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557E-B656-4F95-B5BB-0D96846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Bao cao</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 KHCN An Giang</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NTTUNG</cp:lastModifiedBy>
  <cp:revision>2</cp:revision>
  <cp:lastPrinted>2021-12-06T09:25:00Z</cp:lastPrinted>
  <dcterms:created xsi:type="dcterms:W3CDTF">2021-12-17T01:23:00Z</dcterms:created>
  <dcterms:modified xsi:type="dcterms:W3CDTF">2021-12-17T01:23:00Z</dcterms:modified>
  <cp:category>Bao cao</cp:category>
</cp:coreProperties>
</file>