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13F5" w14:textId="3D6177FB" w:rsidR="00EE2F5A" w:rsidRDefault="00EE2F5A" w:rsidP="00EE2F5A">
      <w:pPr>
        <w:pStyle w:val="Styledieu-tenBefore6pt"/>
      </w:pPr>
      <w:r w:rsidRPr="0010679E">
        <w:t>Sáp nhập Văn phòng công chứng</w:t>
      </w:r>
    </w:p>
    <w:p w14:paraId="24AF74D9" w14:textId="1D827325" w:rsidR="00EE2F5A" w:rsidRPr="007A3FE2" w:rsidRDefault="00EE2F5A" w:rsidP="00EE2F5A">
      <w:pPr>
        <w:pStyle w:val="Styledieu-tenBefore6pt"/>
      </w:pPr>
      <w:bookmarkStart w:id="0" w:name="_GoBack"/>
      <w:bookmarkEnd w:id="0"/>
      <w:r>
        <w:tab/>
      </w:r>
    </w:p>
    <w:p w14:paraId="776254A9" w14:textId="3B6604F3" w:rsidR="00EE2F5A" w:rsidRPr="00EE2F5A" w:rsidRDefault="00EE2F5A" w:rsidP="00EE2F5A">
      <w:pPr>
        <w:pStyle w:val="NormalWeb"/>
        <w:widowControl w:val="0"/>
        <w:spacing w:before="120" w:beforeAutospacing="0" w:after="120" w:afterAutospacing="0" w:line="320" w:lineRule="exact"/>
        <w:ind w:firstLine="720"/>
        <w:jc w:val="both"/>
        <w:rPr>
          <w:b/>
          <w:sz w:val="28"/>
          <w:szCs w:val="28"/>
          <w:lang w:val="nl-NL"/>
        </w:rPr>
      </w:pPr>
      <w:r w:rsidRPr="00EE2F5A">
        <w:rPr>
          <w:b/>
        </w:rPr>
        <w:t>Trình tự thực hiện:</w:t>
      </w:r>
    </w:p>
    <w:p w14:paraId="7A22704F" w14:textId="59CF0E3E" w:rsidR="00EE2F5A" w:rsidRPr="00812B3E" w:rsidRDefault="00EE2F5A" w:rsidP="00EE2F5A">
      <w:pPr>
        <w:pStyle w:val="NormalWeb"/>
        <w:widowControl w:val="0"/>
        <w:spacing w:before="120" w:beforeAutospacing="0" w:after="120" w:afterAutospacing="0" w:line="320" w:lineRule="exact"/>
        <w:ind w:firstLine="720"/>
        <w:jc w:val="both"/>
        <w:rPr>
          <w:sz w:val="28"/>
          <w:szCs w:val="28"/>
          <w:lang w:val="nl-NL"/>
        </w:rPr>
      </w:pPr>
      <w:r w:rsidRPr="00812B3E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 Bước 1:</w:t>
      </w:r>
      <w:r w:rsidRPr="00812B3E">
        <w:rPr>
          <w:sz w:val="28"/>
          <w:szCs w:val="28"/>
          <w:lang w:val="nl-NL"/>
        </w:rPr>
        <w:t xml:space="preserve"> Mỗi Văn phòng công chứng cử một công chứng viên hợp danh làm đại diện để ký kết hợp đồng sáp nhập;</w:t>
      </w:r>
    </w:p>
    <w:p w14:paraId="163B91D8" w14:textId="77777777" w:rsidR="00EE2F5A" w:rsidRPr="00812B3E" w:rsidRDefault="00EE2F5A" w:rsidP="00EE2F5A">
      <w:pPr>
        <w:pStyle w:val="NormalWeb"/>
        <w:widowControl w:val="0"/>
        <w:spacing w:before="120" w:beforeAutospacing="0" w:after="120" w:afterAutospacing="0" w:line="320" w:lineRule="exact"/>
        <w:ind w:firstLine="720"/>
        <w:jc w:val="both"/>
        <w:rPr>
          <w:sz w:val="28"/>
          <w:szCs w:val="28"/>
          <w:lang w:val="nl-NL"/>
        </w:rPr>
      </w:pPr>
      <w:r w:rsidRPr="00812B3E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 xml:space="preserve">Bước 2: </w:t>
      </w:r>
      <w:r w:rsidRPr="00812B3E">
        <w:rPr>
          <w:sz w:val="28"/>
          <w:szCs w:val="28"/>
          <w:lang w:val="nl-NL"/>
        </w:rPr>
        <w:t>Các Văn phòng công chứng sáp nhập nộp hồ sơ tại Sở Tư pháp nơi đăng ký hoạt động;</w:t>
      </w:r>
    </w:p>
    <w:p w14:paraId="0656CAC9" w14:textId="77777777" w:rsidR="00EE2F5A" w:rsidRPr="00812B3E" w:rsidRDefault="00EE2F5A" w:rsidP="00EE2F5A">
      <w:pPr>
        <w:pStyle w:val="NormalWeb"/>
        <w:widowControl w:val="0"/>
        <w:spacing w:before="120" w:beforeAutospacing="0" w:after="120" w:afterAutospacing="0" w:line="320" w:lineRule="exact"/>
        <w:ind w:firstLine="720"/>
        <w:jc w:val="both"/>
        <w:rPr>
          <w:sz w:val="28"/>
          <w:szCs w:val="28"/>
          <w:lang w:val="nl-NL"/>
        </w:rPr>
      </w:pPr>
      <w:r w:rsidRPr="00812B3E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 Bước 3:</w:t>
      </w:r>
      <w:r w:rsidRPr="00812B3E">
        <w:rPr>
          <w:sz w:val="28"/>
          <w:szCs w:val="28"/>
          <w:lang w:val="nl-NL"/>
        </w:rPr>
        <w:t xml:space="preserve"> Sở Tư pháp lấy ý kiến của Hội công chứng viên (ở những nơi đã thành lập), trình UBND cấp tỉnh;</w:t>
      </w:r>
    </w:p>
    <w:p w14:paraId="4AAE4727" w14:textId="77777777" w:rsidR="00EE2F5A" w:rsidRPr="00812B3E" w:rsidRDefault="00EE2F5A" w:rsidP="00EE2F5A">
      <w:pPr>
        <w:pStyle w:val="NormalWeb"/>
        <w:widowControl w:val="0"/>
        <w:spacing w:before="120" w:beforeAutospacing="0" w:after="120" w:afterAutospacing="0" w:line="320" w:lineRule="exact"/>
        <w:ind w:firstLine="720"/>
        <w:jc w:val="both"/>
        <w:rPr>
          <w:sz w:val="28"/>
          <w:szCs w:val="28"/>
          <w:lang w:val="nl-NL"/>
        </w:rPr>
      </w:pPr>
      <w:r w:rsidRPr="00812B3E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 xml:space="preserve">Bước 4: </w:t>
      </w:r>
      <w:r w:rsidRPr="00812B3E">
        <w:rPr>
          <w:sz w:val="28"/>
          <w:szCs w:val="28"/>
          <w:lang w:val="nl-NL"/>
        </w:rPr>
        <w:t>UBND cấp tỉnh xem xét, quyết định cho phép sáp nhập Văn phòng công chứng.</w:t>
      </w:r>
    </w:p>
    <w:p w14:paraId="1AEC7D9C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t xml:space="preserve">Cách thức thực hiện: </w:t>
      </w:r>
      <w:r w:rsidRPr="00812B3E">
        <w:rPr>
          <w:rFonts w:ascii="Times New Roman" w:hAnsi="Times New Roman"/>
          <w:sz w:val="28"/>
          <w:szCs w:val="28"/>
          <w:lang w:val="nl-NL"/>
        </w:rPr>
        <w:t>Nộp hồ sơ tại Sở Tư pháp nơi đăng ký hoạt động</w:t>
      </w:r>
    </w:p>
    <w:p w14:paraId="7D9B865C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t>Thành phần hồ sơ</w:t>
      </w:r>
      <w:r w:rsidRPr="00812B3E">
        <w:rPr>
          <w:rFonts w:ascii="Times New Roman" w:hAnsi="Times New Roman"/>
          <w:b/>
          <w:sz w:val="28"/>
          <w:szCs w:val="28"/>
          <w:lang w:val="nl-NL"/>
        </w:rPr>
        <w:t>:</w:t>
      </w:r>
    </w:p>
    <w:p w14:paraId="527E7C92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shd w:val="solid" w:color="FFFFFF" w:fill="auto"/>
          <w:lang w:val="nl-NL"/>
        </w:rPr>
        <w:t>- Hợp đồng</w:t>
      </w:r>
      <w:r w:rsidRPr="00657466">
        <w:rPr>
          <w:rFonts w:ascii="Times New Roman" w:hAnsi="Times New Roman"/>
          <w:sz w:val="28"/>
          <w:szCs w:val="28"/>
          <w:lang w:val="nl-NL"/>
        </w:rPr>
        <w:t xml:space="preserve"> sáp nhập Văn phòng công chứng, trong đó có các nội dung chủ yếu sau: Tên, địa chỉ trụ sở của các Văn phòng công chứng bị sáp nhập; tên, địa chỉ trụ sở của Văn phòng công chứng nhận sáp nhập; thời gian thực hiện sáp nhập; phương án chuyển tài sản của các Văn phòng công chứng bị sáp nhập sang Văn phòng công chứng nhận sáp nhập; phương án sử dụng lao động của Văn phòng công chứng nhận sáp nhập; việc kế thừa toàn bộ quyền, nghĩa vụ và lợi ích hợp pháp của các Văn phòng công chứng bị sáp nhập và các nội dung khác có liên quan;</w:t>
      </w:r>
    </w:p>
    <w:p w14:paraId="597DBE56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lang w:val="nl-NL"/>
        </w:rPr>
        <w:t>- Kê khai thuế, báo cáo tài chính trong 03 (ba) năm gần nhất đã được kiểm toán của các Văn phòng công chứng tính đến ngày đề nghị sáp nhập;</w:t>
      </w:r>
    </w:p>
    <w:p w14:paraId="47FBC627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lang w:val="nl-NL"/>
        </w:rPr>
        <w:t>- Biên bản kiểm kê hồ sơ công chứng và biên bản kiểm kê tài sản hiện có của các Văn phòng công chứng;</w:t>
      </w:r>
    </w:p>
    <w:p w14:paraId="20EDA900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lang w:val="nl-NL"/>
        </w:rPr>
        <w:t>- Danh sách các công chứng viên hợp danh và công chứng viên làm việc theo chế độ hợp đồng tại các Văn phòng công chứng;</w:t>
      </w:r>
    </w:p>
    <w:p w14:paraId="58792EE1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lang w:val="nl-NL"/>
        </w:rPr>
        <w:t>- Quyết định cho phép thành lập và giấy đăng ký hoạt động của các Văn phòng công chứng.</w:t>
      </w:r>
    </w:p>
    <w:p w14:paraId="3C084B53" w14:textId="77777777" w:rsidR="00EE2F5A" w:rsidRPr="00812B3E" w:rsidRDefault="00EE2F5A" w:rsidP="00EE2F5A">
      <w:pPr>
        <w:pStyle w:val="BodyTextIndent2"/>
        <w:spacing w:line="320" w:lineRule="exact"/>
        <w:jc w:val="both"/>
        <w:rPr>
          <w:rFonts w:ascii="Times New Roman" w:hAnsi="Times New Roman"/>
          <w:lang w:val="nl-NL"/>
        </w:rPr>
      </w:pPr>
      <w:r w:rsidRPr="00812B3E">
        <w:rPr>
          <w:rFonts w:ascii="Times New Roman" w:hAnsi="Times New Roman"/>
          <w:b/>
          <w:lang w:val="nl-NL"/>
        </w:rPr>
        <w:t>Số lượng hồ sơ:</w:t>
      </w:r>
      <w:r w:rsidRPr="00812B3E">
        <w:rPr>
          <w:rFonts w:ascii="Times New Roman" w:hAnsi="Times New Roman"/>
          <w:lang w:val="nl-NL"/>
        </w:rPr>
        <w:t xml:space="preserve"> 01 bộ</w:t>
      </w:r>
    </w:p>
    <w:p w14:paraId="253E83F9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t>Thời hạn giải quyết</w:t>
      </w:r>
      <w:r w:rsidRPr="00812B3E">
        <w:rPr>
          <w:rFonts w:ascii="Times New Roman" w:hAnsi="Times New Roman"/>
          <w:b/>
          <w:sz w:val="28"/>
          <w:szCs w:val="28"/>
          <w:lang w:val="nl-NL"/>
        </w:rPr>
        <w:t>:</w:t>
      </w:r>
    </w:p>
    <w:p w14:paraId="6A59B29C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lang w:val="nl-NL"/>
        </w:rPr>
        <w:t xml:space="preserve">- Trong thời hạn 20 ngày, kể từ ngày nhận đủ hồ sơ hợp lệ, Sở Tư pháp lấy ý kiến của Hội công chứng viên (ở những nơi đã thành lập), trình </w:t>
      </w:r>
      <w:r w:rsidRPr="00812B3E">
        <w:rPr>
          <w:rFonts w:ascii="Times New Roman" w:hAnsi="Times New Roman"/>
          <w:sz w:val="28"/>
          <w:szCs w:val="28"/>
          <w:lang w:val="nl-NL"/>
        </w:rPr>
        <w:t>UBND</w:t>
      </w:r>
      <w:r w:rsidRPr="00657466">
        <w:rPr>
          <w:rFonts w:ascii="Times New Roman" w:hAnsi="Times New Roman"/>
          <w:sz w:val="28"/>
          <w:szCs w:val="28"/>
          <w:lang w:val="nl-NL"/>
        </w:rPr>
        <w:t xml:space="preserve"> cấp tỉnh;</w:t>
      </w:r>
    </w:p>
    <w:p w14:paraId="0E25EBA2" w14:textId="77777777" w:rsidR="00EE2F5A" w:rsidRPr="00812B3E" w:rsidRDefault="00EE2F5A" w:rsidP="00EE2F5A">
      <w:pPr>
        <w:pStyle w:val="NormalWeb"/>
        <w:spacing w:before="120" w:beforeAutospacing="0" w:after="120" w:afterAutospacing="0" w:line="320" w:lineRule="exact"/>
        <w:ind w:firstLine="720"/>
        <w:jc w:val="both"/>
        <w:rPr>
          <w:sz w:val="28"/>
          <w:szCs w:val="28"/>
          <w:lang w:val="nl-NL"/>
        </w:rPr>
      </w:pPr>
      <w:r w:rsidRPr="00657466">
        <w:rPr>
          <w:sz w:val="28"/>
          <w:szCs w:val="28"/>
          <w:lang w:val="nl-NL"/>
        </w:rPr>
        <w:t xml:space="preserve">- Trong thời hạn 15 ngày, kể từ ngày nhận được đề nghị của Sở Tư pháp, </w:t>
      </w:r>
      <w:r w:rsidRPr="00812B3E">
        <w:rPr>
          <w:sz w:val="28"/>
          <w:szCs w:val="28"/>
          <w:lang w:val="nl-NL"/>
        </w:rPr>
        <w:t>UBND</w:t>
      </w:r>
      <w:r w:rsidRPr="00657466">
        <w:rPr>
          <w:sz w:val="28"/>
          <w:szCs w:val="28"/>
          <w:lang w:val="nl-NL"/>
        </w:rPr>
        <w:t xml:space="preserve"> cấp tỉnh xem xét, quyết định cho phép sáp nhập Văn phòng công chứng; trường hợp từ chối phải thông báo bằng văn bản và nêu rõ lý do.</w:t>
      </w:r>
    </w:p>
    <w:p w14:paraId="5FCD5AF9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t>Đối tượng thực hiện thủ tục hành chính</w:t>
      </w:r>
      <w:r w:rsidRPr="00812B3E">
        <w:rPr>
          <w:rFonts w:ascii="Times New Roman" w:hAnsi="Times New Roman"/>
          <w:b/>
          <w:sz w:val="28"/>
          <w:szCs w:val="28"/>
          <w:lang w:val="nl-NL"/>
        </w:rPr>
        <w:t>:</w:t>
      </w:r>
      <w:r w:rsidRPr="00812B3E">
        <w:rPr>
          <w:rFonts w:ascii="Times New Roman" w:hAnsi="Times New Roman"/>
          <w:sz w:val="28"/>
          <w:szCs w:val="28"/>
          <w:lang w:val="nl-NL"/>
        </w:rPr>
        <w:t xml:space="preserve"> Văn phòng công chứng</w:t>
      </w:r>
    </w:p>
    <w:p w14:paraId="6427FA57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t>Cơ quan thực hiện thủ tục hành chính</w:t>
      </w:r>
      <w:r w:rsidRPr="00812B3E">
        <w:rPr>
          <w:rFonts w:ascii="Times New Roman" w:hAnsi="Times New Roman"/>
          <w:b/>
          <w:sz w:val="28"/>
          <w:szCs w:val="28"/>
          <w:lang w:val="nl-NL"/>
        </w:rPr>
        <w:t>:</w:t>
      </w:r>
      <w:r w:rsidRPr="00812B3E">
        <w:rPr>
          <w:rFonts w:ascii="Times New Roman" w:hAnsi="Times New Roman"/>
          <w:sz w:val="28"/>
          <w:szCs w:val="28"/>
          <w:lang w:val="nl-NL"/>
        </w:rPr>
        <w:t xml:space="preserve"> Sở Tư pháp, UBND cấp tỉnh</w:t>
      </w:r>
    </w:p>
    <w:p w14:paraId="6CBBCD6B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>Kết quả thực hiện thủ tục hành chính:</w:t>
      </w:r>
      <w:r w:rsidRPr="00812B3E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57466">
        <w:rPr>
          <w:rFonts w:ascii="Times New Roman" w:hAnsi="Times New Roman"/>
          <w:sz w:val="28"/>
          <w:szCs w:val="28"/>
          <w:lang w:val="nl-NL"/>
        </w:rPr>
        <w:t>Quyết định cho phép sáp nhập Văn phòng công chứng theo Mẫu TP-CC-16 ban hành kèm theo Thông tư số 06/2015/TT-BTP hoặc văn bản từ chối cho phép sáp nhập Văn phòng công chứng</w:t>
      </w:r>
    </w:p>
    <w:p w14:paraId="7BC47EB3" w14:textId="77777777" w:rsidR="00EE2F5A" w:rsidRPr="00812B3E" w:rsidRDefault="00EE2F5A" w:rsidP="00EE2F5A">
      <w:pPr>
        <w:pStyle w:val="NormalWeb"/>
        <w:spacing w:before="120" w:beforeAutospacing="0" w:after="120" w:afterAutospacing="0" w:line="320" w:lineRule="exact"/>
        <w:ind w:firstLine="720"/>
        <w:jc w:val="both"/>
        <w:rPr>
          <w:sz w:val="28"/>
          <w:szCs w:val="28"/>
          <w:lang w:val="nl-NL"/>
        </w:rPr>
      </w:pPr>
      <w:r w:rsidRPr="00812B3E">
        <w:rPr>
          <w:b/>
          <w:bCs/>
          <w:sz w:val="28"/>
          <w:szCs w:val="28"/>
          <w:lang w:val="nl-NL"/>
        </w:rPr>
        <w:t xml:space="preserve">Lệ phí: </w:t>
      </w:r>
      <w:r w:rsidRPr="00812B3E">
        <w:rPr>
          <w:bCs/>
          <w:sz w:val="28"/>
          <w:szCs w:val="28"/>
          <w:lang w:val="nl-NL"/>
        </w:rPr>
        <w:t>Không</w:t>
      </w:r>
    </w:p>
    <w:p w14:paraId="3C3D8A8B" w14:textId="77777777" w:rsidR="00EE2F5A" w:rsidRPr="00812B3E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12B3E">
        <w:rPr>
          <w:rFonts w:ascii="Times New Roman" w:hAnsi="Times New Roman"/>
          <w:b/>
          <w:bCs/>
          <w:sz w:val="28"/>
          <w:szCs w:val="28"/>
          <w:lang w:val="nl-NL"/>
        </w:rPr>
        <w:t>Yêu cầu, điều kiện thực hiện thủ tục hành chính</w:t>
      </w:r>
      <w:r w:rsidRPr="00812B3E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657466">
        <w:rPr>
          <w:rFonts w:ascii="Times New Roman" w:hAnsi="Times New Roman"/>
          <w:sz w:val="28"/>
          <w:szCs w:val="28"/>
          <w:lang w:val="nl-NL"/>
        </w:rPr>
        <w:t xml:space="preserve">Văn </w:t>
      </w:r>
      <w:r w:rsidRPr="00657466">
        <w:rPr>
          <w:rFonts w:ascii="Times New Roman" w:hAnsi="Times New Roman"/>
          <w:bCs/>
          <w:sz w:val="28"/>
          <w:szCs w:val="28"/>
          <w:lang w:val="nl-NL"/>
        </w:rPr>
        <w:t xml:space="preserve">phòng công chứng </w:t>
      </w:r>
      <w:r w:rsidRPr="00657466">
        <w:rPr>
          <w:rFonts w:ascii="Times New Roman" w:hAnsi="Times New Roman"/>
          <w:sz w:val="28"/>
          <w:szCs w:val="28"/>
          <w:lang w:val="nl-NL"/>
        </w:rPr>
        <w:t xml:space="preserve">bị sáp nhập phải </w:t>
      </w:r>
      <w:r w:rsidRPr="00657466">
        <w:rPr>
          <w:rFonts w:ascii="Times New Roman" w:hAnsi="Times New Roman"/>
          <w:bCs/>
          <w:sz w:val="28"/>
          <w:szCs w:val="28"/>
          <w:lang w:val="nl-NL"/>
        </w:rPr>
        <w:t>có trụ sở trong cùng một tỉnh, thành phố trực thuộc trung ương với</w:t>
      </w:r>
      <w:r w:rsidRPr="00657466">
        <w:rPr>
          <w:rFonts w:ascii="Times New Roman" w:hAnsi="Times New Roman"/>
          <w:sz w:val="28"/>
          <w:szCs w:val="28"/>
          <w:lang w:val="nl-NL"/>
        </w:rPr>
        <w:t xml:space="preserve"> Văn </w:t>
      </w:r>
      <w:r w:rsidRPr="00657466">
        <w:rPr>
          <w:rFonts w:ascii="Times New Roman" w:hAnsi="Times New Roman"/>
          <w:bCs/>
          <w:sz w:val="28"/>
          <w:szCs w:val="28"/>
          <w:lang w:val="nl-NL"/>
        </w:rPr>
        <w:t xml:space="preserve">phòng công chứng </w:t>
      </w:r>
      <w:r w:rsidRPr="00657466">
        <w:rPr>
          <w:rFonts w:ascii="Times New Roman" w:hAnsi="Times New Roman"/>
          <w:sz w:val="28"/>
          <w:szCs w:val="28"/>
          <w:lang w:val="nl-NL"/>
        </w:rPr>
        <w:t>nhận sáp nhập</w:t>
      </w:r>
    </w:p>
    <w:p w14:paraId="1FF8D788" w14:textId="77777777" w:rsidR="00EE2F5A" w:rsidRPr="00812B3E" w:rsidRDefault="00EE2F5A" w:rsidP="00EE2F5A">
      <w:pPr>
        <w:pStyle w:val="BodyTextIndent2"/>
        <w:spacing w:line="320" w:lineRule="exact"/>
        <w:jc w:val="both"/>
        <w:rPr>
          <w:rFonts w:ascii="Times New Roman" w:hAnsi="Times New Roman"/>
          <w:lang w:val="nl-NL"/>
        </w:rPr>
      </w:pPr>
      <w:r w:rsidRPr="00812B3E">
        <w:rPr>
          <w:rFonts w:ascii="Times New Roman" w:hAnsi="Times New Roman"/>
          <w:b/>
          <w:lang w:val="nl-NL"/>
        </w:rPr>
        <w:t xml:space="preserve">Mẫu đơn, mẫu tờ khai: </w:t>
      </w:r>
      <w:r w:rsidRPr="00812B3E">
        <w:rPr>
          <w:rFonts w:ascii="Times New Roman" w:hAnsi="Times New Roman"/>
          <w:lang w:val="nl-NL"/>
        </w:rPr>
        <w:t>Không</w:t>
      </w:r>
    </w:p>
    <w:p w14:paraId="28713880" w14:textId="77777777" w:rsidR="00EE2F5A" w:rsidRPr="00812B3E" w:rsidRDefault="00EE2F5A" w:rsidP="00EE2F5A">
      <w:pPr>
        <w:pStyle w:val="BodyTextIndent2"/>
        <w:spacing w:line="320" w:lineRule="exact"/>
        <w:jc w:val="both"/>
        <w:rPr>
          <w:rFonts w:ascii="Times New Roman" w:hAnsi="Times New Roman"/>
          <w:b/>
          <w:bCs w:val="0"/>
          <w:lang w:val="nl-NL"/>
        </w:rPr>
      </w:pPr>
      <w:r w:rsidRPr="00812B3E">
        <w:rPr>
          <w:rFonts w:ascii="Times New Roman" w:hAnsi="Times New Roman"/>
          <w:b/>
          <w:bCs w:val="0"/>
          <w:lang w:val="nl-NL"/>
        </w:rPr>
        <w:t>Căn cứ pháp lý:</w:t>
      </w:r>
    </w:p>
    <w:p w14:paraId="1A9153E7" w14:textId="77777777" w:rsidR="00EE2F5A" w:rsidRPr="00812B3E" w:rsidRDefault="00EE2F5A" w:rsidP="00EE2F5A">
      <w:pPr>
        <w:pStyle w:val="BodyTextIndent2"/>
        <w:spacing w:line="320" w:lineRule="exact"/>
        <w:jc w:val="both"/>
        <w:rPr>
          <w:rFonts w:ascii="Times New Roman" w:hAnsi="Times New Roman"/>
          <w:b/>
          <w:bCs w:val="0"/>
          <w:lang w:val="nl-NL"/>
        </w:rPr>
      </w:pPr>
      <w:r w:rsidRPr="00812B3E">
        <w:rPr>
          <w:rFonts w:ascii="Times New Roman" w:hAnsi="Times New Roman"/>
          <w:lang w:val="nl-NL"/>
        </w:rPr>
        <w:t>- Luật công chứng số 53/2014/QH13;</w:t>
      </w:r>
    </w:p>
    <w:p w14:paraId="544C90BF" w14:textId="77777777" w:rsidR="00EE2F5A" w:rsidRPr="00657466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57466">
        <w:rPr>
          <w:rFonts w:ascii="Times New Roman" w:hAnsi="Times New Roman"/>
          <w:sz w:val="28"/>
          <w:szCs w:val="28"/>
          <w:lang w:val="nl-NL"/>
        </w:rPr>
        <w:t>-</w:t>
      </w:r>
      <w:r w:rsidRPr="00812B3E">
        <w:rPr>
          <w:rFonts w:ascii="Times New Roman" w:hAnsi="Times New Roman"/>
          <w:bCs/>
          <w:sz w:val="28"/>
          <w:szCs w:val="28"/>
          <w:lang w:val="nl-NL"/>
        </w:rPr>
        <w:t xml:space="preserve"> Nghị định số 29/2015/NĐ-CP ngày 15/3/2015 của Chính phủ quy định chi tiết và hướng dẫn thi hành một số điều của Luật công chứng</w:t>
      </w:r>
      <w:r w:rsidRPr="00657466">
        <w:rPr>
          <w:rFonts w:ascii="Times New Roman" w:hAnsi="Times New Roman"/>
          <w:sz w:val="28"/>
          <w:szCs w:val="28"/>
          <w:lang w:val="nl-NL"/>
        </w:rPr>
        <w:t>;</w:t>
      </w:r>
    </w:p>
    <w:p w14:paraId="1859C256" w14:textId="77777777" w:rsidR="00EE2F5A" w:rsidRDefault="00EE2F5A" w:rsidP="00EE2F5A">
      <w:pPr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812B3E">
        <w:rPr>
          <w:rFonts w:ascii="Times New Roman" w:hAnsi="Times New Roman"/>
          <w:bCs/>
          <w:sz w:val="28"/>
          <w:szCs w:val="28"/>
          <w:lang w:val="nl-NL"/>
        </w:rPr>
        <w:t xml:space="preserve">- </w:t>
      </w:r>
      <w:r w:rsidRPr="00812B3E">
        <w:rPr>
          <w:rFonts w:ascii="Times New Roman" w:hAnsi="Times New Roman"/>
          <w:sz w:val="28"/>
          <w:szCs w:val="28"/>
          <w:lang w:val="nl-NL"/>
        </w:rPr>
        <w:t>Thông tư số 06/2015/TT-BTP ngày 15/6/2015 của Bộ Tư pháp quy định chi tiết và hướng dẫn thi hành một số điều của Luật công chứng.</w:t>
      </w:r>
    </w:p>
    <w:p w14:paraId="42D4F20F" w14:textId="47EE7108" w:rsidR="00DC50EB" w:rsidRPr="00EE2F5A" w:rsidRDefault="00DC50EB" w:rsidP="00EE2F5A">
      <w:pPr>
        <w:rPr>
          <w:lang w:val="nl-NL"/>
        </w:rPr>
      </w:pPr>
    </w:p>
    <w:sectPr w:rsidR="00DC50EB" w:rsidRPr="00EE2F5A" w:rsidSect="00EE0ACF">
      <w:footerReference w:type="default" r:id="rId6"/>
      <w:pgSz w:w="11906" w:h="16838" w:code="9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210E" w14:textId="77777777" w:rsidR="002B1F1E" w:rsidRDefault="00E43A32">
      <w:pPr>
        <w:spacing w:after="0" w:line="240" w:lineRule="auto"/>
      </w:pPr>
      <w:r>
        <w:separator/>
      </w:r>
    </w:p>
  </w:endnote>
  <w:endnote w:type="continuationSeparator" w:id="0">
    <w:p w14:paraId="66585D54" w14:textId="77777777" w:rsidR="002B1F1E" w:rsidRDefault="00E4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08A8" w14:textId="3B60DED0" w:rsidR="00496333" w:rsidRDefault="00397B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F5A">
      <w:rPr>
        <w:noProof/>
      </w:rPr>
      <w:t>2</w:t>
    </w:r>
    <w:r>
      <w:rPr>
        <w:noProof/>
      </w:rPr>
      <w:fldChar w:fldCharType="end"/>
    </w:r>
  </w:p>
  <w:p w14:paraId="765EEA72" w14:textId="77777777" w:rsidR="00496333" w:rsidRDefault="00EE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A3A1" w14:textId="77777777" w:rsidR="002B1F1E" w:rsidRDefault="00E43A32">
      <w:pPr>
        <w:spacing w:after="0" w:line="240" w:lineRule="auto"/>
      </w:pPr>
      <w:r>
        <w:separator/>
      </w:r>
    </w:p>
  </w:footnote>
  <w:footnote w:type="continuationSeparator" w:id="0">
    <w:p w14:paraId="0004E8E1" w14:textId="77777777" w:rsidR="002B1F1E" w:rsidRDefault="00E43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57"/>
    <w:rsid w:val="000A388B"/>
    <w:rsid w:val="000D1161"/>
    <w:rsid w:val="001303C3"/>
    <w:rsid w:val="001C1DF6"/>
    <w:rsid w:val="001D16E8"/>
    <w:rsid w:val="002040AF"/>
    <w:rsid w:val="00240454"/>
    <w:rsid w:val="0029110C"/>
    <w:rsid w:val="002B1F1E"/>
    <w:rsid w:val="003615C3"/>
    <w:rsid w:val="003629CE"/>
    <w:rsid w:val="00385543"/>
    <w:rsid w:val="00385B57"/>
    <w:rsid w:val="00397BE1"/>
    <w:rsid w:val="00507AE8"/>
    <w:rsid w:val="0060189F"/>
    <w:rsid w:val="00713B8D"/>
    <w:rsid w:val="008E289A"/>
    <w:rsid w:val="008F5E35"/>
    <w:rsid w:val="00A83782"/>
    <w:rsid w:val="00AF673E"/>
    <w:rsid w:val="00CF2144"/>
    <w:rsid w:val="00D96C1B"/>
    <w:rsid w:val="00DC50EB"/>
    <w:rsid w:val="00E43A32"/>
    <w:rsid w:val="00EB691C"/>
    <w:rsid w:val="00EE0ACF"/>
    <w:rsid w:val="00EE2F5A"/>
    <w:rsid w:val="00F31022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FEADA"/>
  <w15:chartTrackingRefBased/>
  <w15:docId w15:val="{54374323-F464-4362-B0C5-153AE42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AC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ACF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AC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link w:val="NormalWebChar"/>
    <w:rsid w:val="00EE0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E0ACF"/>
    <w:pPr>
      <w:tabs>
        <w:tab w:val="num" w:pos="-603"/>
      </w:tabs>
      <w:spacing w:before="120" w:after="0" w:line="240" w:lineRule="auto"/>
      <w:ind w:firstLine="720"/>
    </w:pPr>
    <w:rPr>
      <w:rFonts w:ascii=".VnTime" w:eastAsia="Times New Roman" w:hAnsi=".VnTime"/>
      <w:bCs/>
      <w:sz w:val="28"/>
      <w:szCs w:val="28"/>
      <w:lang w:val="pt-BR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0ACF"/>
    <w:rPr>
      <w:rFonts w:ascii=".VnTime" w:eastAsia="Times New Roman" w:hAnsi=".VnTime" w:cs="Times New Roman"/>
      <w:bCs/>
      <w:sz w:val="28"/>
      <w:szCs w:val="28"/>
      <w:lang w:val="pt-BR" w:eastAsia="x-none"/>
    </w:rPr>
  </w:style>
  <w:style w:type="character" w:customStyle="1" w:styleId="NormalWebChar">
    <w:name w:val="Normal (Web) Char"/>
    <w:link w:val="NormalWeb"/>
    <w:locked/>
    <w:rsid w:val="00EE0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97BE1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4"/>
      <w:szCs w:val="24"/>
      <w:lang w:val="x-none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97BE1"/>
    <w:rPr>
      <w:rFonts w:ascii="Calibri" w:eastAsia="Batang" w:hAnsi="Calibri" w:cs="Times New Roman"/>
      <w:sz w:val="24"/>
      <w:szCs w:val="24"/>
      <w:lang w:val="x-none" w:eastAsia="ko-KR"/>
    </w:rPr>
  </w:style>
  <w:style w:type="character" w:customStyle="1" w:styleId="normal-h1">
    <w:name w:val="normal-h1"/>
    <w:rsid w:val="00397BE1"/>
    <w:rPr>
      <w:rFonts w:ascii="Times New Roman" w:hAnsi="Times New Roman" w:cs="Times New Roman" w:hint="default"/>
      <w:sz w:val="24"/>
      <w:szCs w:val="24"/>
    </w:rPr>
  </w:style>
  <w:style w:type="character" w:styleId="FootnoteReference">
    <w:name w:val="footnote reference"/>
    <w:rsid w:val="00397BE1"/>
    <w:rPr>
      <w:vertAlign w:val="superscript"/>
    </w:rPr>
  </w:style>
  <w:style w:type="paragraph" w:customStyle="1" w:styleId="n-dieund">
    <w:name w:val="n-dieund"/>
    <w:basedOn w:val="Normal"/>
    <w:rsid w:val="00397BE1"/>
    <w:pPr>
      <w:tabs>
        <w:tab w:val="left" w:pos="567"/>
        <w:tab w:val="right" w:pos="4962"/>
        <w:tab w:val="right" w:pos="6663"/>
        <w:tab w:val="right" w:pos="8647"/>
        <w:tab w:val="right" w:pos="8931"/>
      </w:tabs>
      <w:spacing w:after="120" w:line="240" w:lineRule="auto"/>
      <w:ind w:firstLine="709"/>
      <w:jc w:val="both"/>
    </w:pPr>
    <w:rPr>
      <w:rFonts w:ascii=".VnTime" w:eastAsia="Times New Roman" w:hAnsi=".VnTime"/>
      <w:sz w:val="28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5E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E35"/>
    <w:rPr>
      <w:rFonts w:ascii="Calibri" w:eastAsia="Calibri" w:hAnsi="Calibri" w:cs="Times New Roman"/>
      <w:lang w:val="en-US"/>
    </w:rPr>
  </w:style>
  <w:style w:type="character" w:customStyle="1" w:styleId="BodyTextIndentChar1">
    <w:name w:val="Body Text Indent Char1"/>
    <w:uiPriority w:val="99"/>
    <w:rsid w:val="008F5E35"/>
    <w:rPr>
      <w:rFonts w:ascii="Times New Roman" w:hAnsi="Times New Roman" w:cs="Arial"/>
      <w:sz w:val="26"/>
      <w:szCs w:val="28"/>
    </w:rPr>
  </w:style>
  <w:style w:type="paragraph" w:styleId="NoSpacing">
    <w:name w:val="No Spacing"/>
    <w:uiPriority w:val="1"/>
    <w:qFormat/>
    <w:rsid w:val="002040A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543"/>
    <w:rPr>
      <w:rFonts w:ascii="Calibri" w:eastAsia="Calibri" w:hAnsi="Calibri" w:cs="Times New Roman"/>
      <w:lang w:val="en-US"/>
    </w:rPr>
  </w:style>
  <w:style w:type="paragraph" w:customStyle="1" w:styleId="Styledieu-tenBefore6pt">
    <w:name w:val="Style dieu-ten + Before:  6 pt"/>
    <w:basedOn w:val="Normal"/>
    <w:autoRedefine/>
    <w:rsid w:val="00EE2F5A"/>
    <w:pPr>
      <w:widowControl w:val="0"/>
      <w:tabs>
        <w:tab w:val="left" w:pos="709"/>
      </w:tabs>
      <w:spacing w:before="120" w:after="120" w:line="320" w:lineRule="exact"/>
      <w:jc w:val="center"/>
      <w:outlineLvl w:val="1"/>
    </w:pPr>
    <w:rPr>
      <w:rFonts w:ascii="Times New Roman" w:eastAsia="Times New Roman" w:hAnsi="Times New Roman"/>
      <w:b/>
      <w:spacing w:val="-8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JACKTHI</dc:creator>
  <cp:keywords/>
  <dc:description/>
  <cp:lastModifiedBy>JACKTHI</cp:lastModifiedBy>
  <cp:revision>28</cp:revision>
  <dcterms:created xsi:type="dcterms:W3CDTF">2017-10-31T01:30:00Z</dcterms:created>
  <dcterms:modified xsi:type="dcterms:W3CDTF">2017-10-31T08:59:00Z</dcterms:modified>
</cp:coreProperties>
</file>