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63" w:rsidRDefault="00690163" w:rsidP="00690163">
      <w:pPr>
        <w:spacing w:before="120"/>
        <w:ind w:firstLine="540"/>
        <w:jc w:val="both"/>
        <w:rPr>
          <w:b/>
          <w:sz w:val="28"/>
          <w:szCs w:val="28"/>
        </w:rPr>
      </w:pPr>
      <w:r>
        <w:rPr>
          <w:b/>
          <w:sz w:val="28"/>
          <w:szCs w:val="28"/>
        </w:rPr>
        <w:t xml:space="preserve">47. </w:t>
      </w:r>
      <w:r w:rsidRPr="00545E97">
        <w:rPr>
          <w:b/>
          <w:sz w:val="28"/>
          <w:szCs w:val="28"/>
        </w:rPr>
        <w:t>Thủ tục công bố hợp quy đối với sản phẩm, hàng hóa vật liệu xây dựng</w:t>
      </w:r>
      <w:r>
        <w:rPr>
          <w:b/>
          <w:sz w:val="28"/>
          <w:szCs w:val="28"/>
        </w:rPr>
        <w:t xml:space="preserve"> trong nước.</w:t>
      </w:r>
    </w:p>
    <w:p w:rsidR="00690163" w:rsidRDefault="00690163" w:rsidP="00690163">
      <w:pPr>
        <w:spacing w:before="120"/>
        <w:ind w:firstLine="540"/>
        <w:jc w:val="both"/>
        <w:rPr>
          <w:b/>
          <w:sz w:val="28"/>
          <w:szCs w:val="28"/>
        </w:rPr>
      </w:pPr>
      <w:r>
        <w:rPr>
          <w:b/>
          <w:sz w:val="28"/>
          <w:szCs w:val="28"/>
        </w:rPr>
        <w:t xml:space="preserve">- </w:t>
      </w:r>
      <w:r w:rsidRPr="00545E97">
        <w:rPr>
          <w:b/>
          <w:sz w:val="28"/>
          <w:szCs w:val="28"/>
        </w:rPr>
        <w:t>Trình tự thực hiện:</w:t>
      </w:r>
    </w:p>
    <w:p w:rsidR="00690163" w:rsidRDefault="00690163" w:rsidP="00690163">
      <w:pPr>
        <w:spacing w:before="120"/>
        <w:ind w:firstLine="540"/>
        <w:jc w:val="both"/>
        <w:rPr>
          <w:sz w:val="28"/>
          <w:szCs w:val="28"/>
        </w:rPr>
      </w:pPr>
      <w:r>
        <w:rPr>
          <w:spacing w:val="-6"/>
          <w:sz w:val="28"/>
          <w:szCs w:val="28"/>
        </w:rPr>
        <w:t xml:space="preserve">+ </w:t>
      </w:r>
      <w:r w:rsidRPr="00545E97">
        <w:rPr>
          <w:spacing w:val="-6"/>
          <w:sz w:val="28"/>
          <w:szCs w:val="28"/>
        </w:rPr>
        <w:t>Bước 1: Tổ chức nộp hồ sơ tại Bộ phận tiếp nhận và trả kết quả - Sở Xây dựng</w:t>
      </w:r>
      <w:r w:rsidRPr="00545E97">
        <w:rPr>
          <w:sz w:val="28"/>
          <w:szCs w:val="28"/>
        </w:rPr>
        <w:t>.</w:t>
      </w:r>
    </w:p>
    <w:p w:rsidR="00690163" w:rsidRDefault="00690163" w:rsidP="00690163">
      <w:pPr>
        <w:spacing w:before="120"/>
        <w:ind w:firstLine="540"/>
        <w:jc w:val="both"/>
        <w:rPr>
          <w:sz w:val="28"/>
          <w:szCs w:val="28"/>
        </w:rPr>
      </w:pPr>
      <w:r>
        <w:rPr>
          <w:sz w:val="28"/>
          <w:szCs w:val="28"/>
        </w:rPr>
        <w:t xml:space="preserve">+ </w:t>
      </w:r>
      <w:r w:rsidRPr="00545E97">
        <w:rPr>
          <w:sz w:val="28"/>
          <w:szCs w:val="28"/>
        </w:rPr>
        <w:t xml:space="preserve">Bước 2: Bộ phận tiếp nhận và trả kết quả tiếp nhận hồ sơ, ghi phiếu hẹn và chuyển hồ sơ cho phòng </w:t>
      </w:r>
      <w:r>
        <w:rPr>
          <w:sz w:val="28"/>
          <w:szCs w:val="28"/>
        </w:rPr>
        <w:t>Kinh tế và Vật liệu xây dựng</w:t>
      </w:r>
      <w:r w:rsidRPr="00545E97">
        <w:rPr>
          <w:sz w:val="28"/>
          <w:szCs w:val="28"/>
        </w:rPr>
        <w:t xml:space="preserve"> tác nghiệp.  </w:t>
      </w:r>
    </w:p>
    <w:p w:rsidR="00690163" w:rsidRDefault="00690163" w:rsidP="00690163">
      <w:pPr>
        <w:spacing w:before="120"/>
        <w:ind w:firstLine="540"/>
        <w:jc w:val="both"/>
        <w:rPr>
          <w:spacing w:val="4"/>
          <w:sz w:val="28"/>
          <w:szCs w:val="28"/>
        </w:rPr>
      </w:pPr>
      <w:r>
        <w:rPr>
          <w:sz w:val="28"/>
          <w:szCs w:val="28"/>
        </w:rPr>
        <w:t xml:space="preserve">+ </w:t>
      </w:r>
      <w:r w:rsidRPr="00545E97">
        <w:rPr>
          <w:spacing w:val="4"/>
          <w:sz w:val="28"/>
          <w:szCs w:val="28"/>
        </w:rPr>
        <w:t>Bước 3: Ph</w:t>
      </w:r>
      <w:r>
        <w:rPr>
          <w:spacing w:val="4"/>
          <w:sz w:val="28"/>
          <w:szCs w:val="28"/>
        </w:rPr>
        <w:t xml:space="preserve">òng Hạ tầng kỹ thuật thẩm định; </w:t>
      </w:r>
      <w:r w:rsidRPr="00545E97">
        <w:rPr>
          <w:spacing w:val="4"/>
          <w:sz w:val="28"/>
          <w:szCs w:val="28"/>
        </w:rPr>
        <w:t xml:space="preserve">sau đó tham mưu lãnh đạo Sở trình Ủy ban nhân dân xem xét, phê duyệt. </w:t>
      </w:r>
    </w:p>
    <w:p w:rsidR="00690163" w:rsidRDefault="00690163" w:rsidP="00690163">
      <w:pPr>
        <w:spacing w:before="120"/>
        <w:ind w:firstLine="540"/>
        <w:jc w:val="both"/>
        <w:rPr>
          <w:sz w:val="28"/>
          <w:szCs w:val="28"/>
        </w:rPr>
      </w:pPr>
      <w:r>
        <w:rPr>
          <w:spacing w:val="4"/>
          <w:sz w:val="28"/>
          <w:szCs w:val="28"/>
        </w:rPr>
        <w:t xml:space="preserve">+ </w:t>
      </w:r>
      <w:r w:rsidRPr="00545E97">
        <w:rPr>
          <w:sz w:val="28"/>
          <w:szCs w:val="28"/>
        </w:rPr>
        <w:t xml:space="preserve">Bước 4: Phòng </w:t>
      </w:r>
      <w:r>
        <w:rPr>
          <w:sz w:val="28"/>
          <w:szCs w:val="28"/>
        </w:rPr>
        <w:t xml:space="preserve">Kinh tế và Vật liệu Xây dựng </w:t>
      </w:r>
      <w:r w:rsidRPr="00545E97">
        <w:rPr>
          <w:sz w:val="28"/>
          <w:szCs w:val="28"/>
        </w:rPr>
        <w:t>chuyển kết quả cho Bộ phận tiếp nhận và trả kết quả.</w:t>
      </w:r>
    </w:p>
    <w:p w:rsidR="00690163" w:rsidRDefault="00690163" w:rsidP="00690163">
      <w:pPr>
        <w:spacing w:before="120"/>
        <w:ind w:firstLine="540"/>
        <w:jc w:val="both"/>
        <w:rPr>
          <w:spacing w:val="4"/>
          <w:sz w:val="28"/>
          <w:szCs w:val="28"/>
        </w:rPr>
      </w:pPr>
      <w:r>
        <w:rPr>
          <w:sz w:val="28"/>
          <w:szCs w:val="28"/>
        </w:rPr>
        <w:t xml:space="preserve">+ </w:t>
      </w:r>
      <w:r w:rsidRPr="00545E97">
        <w:rPr>
          <w:spacing w:val="4"/>
          <w:sz w:val="28"/>
          <w:szCs w:val="28"/>
        </w:rPr>
        <w:t xml:space="preserve">Bước 5: Tổ chức nhận kết quả tại Bộ phận tiếp nhận và trả kết quả - Sở Xây dựng.  </w:t>
      </w:r>
    </w:p>
    <w:p w:rsidR="00690163" w:rsidRDefault="00690163" w:rsidP="00690163">
      <w:pPr>
        <w:spacing w:before="120"/>
        <w:ind w:firstLine="540"/>
        <w:jc w:val="both"/>
        <w:rPr>
          <w:sz w:val="28"/>
          <w:szCs w:val="28"/>
        </w:rPr>
      </w:pPr>
      <w:r>
        <w:rPr>
          <w:spacing w:val="4"/>
          <w:sz w:val="28"/>
          <w:szCs w:val="28"/>
        </w:rPr>
        <w:t xml:space="preserve">- </w:t>
      </w:r>
      <w:r w:rsidRPr="00545E97">
        <w:rPr>
          <w:b/>
          <w:sz w:val="28"/>
          <w:szCs w:val="28"/>
        </w:rPr>
        <w:t>Cách thức thực hiện</w:t>
      </w:r>
      <w:r w:rsidRPr="00545E97">
        <w:rPr>
          <w:sz w:val="28"/>
          <w:szCs w:val="28"/>
        </w:rPr>
        <w:t xml:space="preserve">: </w:t>
      </w:r>
    </w:p>
    <w:p w:rsidR="00690163" w:rsidRDefault="00690163" w:rsidP="00690163">
      <w:pPr>
        <w:spacing w:before="120"/>
        <w:ind w:firstLine="540"/>
        <w:jc w:val="both"/>
        <w:rPr>
          <w:sz w:val="28"/>
          <w:szCs w:val="28"/>
        </w:rPr>
      </w:pPr>
      <w:r>
        <w:rPr>
          <w:sz w:val="28"/>
          <w:szCs w:val="28"/>
        </w:rPr>
        <w:t xml:space="preserve">+ Trực tiếp tại trụ sở Sở Xây dựng; </w:t>
      </w:r>
    </w:p>
    <w:p w:rsidR="00690163" w:rsidRDefault="00690163" w:rsidP="00690163">
      <w:pPr>
        <w:spacing w:before="120"/>
        <w:ind w:firstLine="540"/>
        <w:jc w:val="both"/>
        <w:rPr>
          <w:sz w:val="28"/>
          <w:szCs w:val="28"/>
        </w:rPr>
      </w:pPr>
      <w:r>
        <w:rPr>
          <w:sz w:val="28"/>
          <w:szCs w:val="28"/>
        </w:rPr>
        <w:t>+ Qua đường bưu chính;</w:t>
      </w:r>
    </w:p>
    <w:p w:rsidR="00690163" w:rsidRPr="00545E97" w:rsidRDefault="00690163" w:rsidP="00690163">
      <w:pPr>
        <w:widowControl w:val="0"/>
        <w:numPr>
          <w:ilvl w:val="0"/>
          <w:numId w:val="1"/>
        </w:numPr>
        <w:tabs>
          <w:tab w:val="clear" w:pos="960"/>
          <w:tab w:val="left" w:pos="720"/>
        </w:tabs>
        <w:spacing w:before="120" w:after="120"/>
        <w:ind w:left="0" w:firstLine="540"/>
        <w:jc w:val="both"/>
        <w:rPr>
          <w:b/>
          <w:sz w:val="28"/>
          <w:szCs w:val="28"/>
        </w:rPr>
      </w:pPr>
      <w:r w:rsidRPr="00545E97">
        <w:rPr>
          <w:b/>
          <w:sz w:val="28"/>
          <w:szCs w:val="28"/>
        </w:rPr>
        <w:t>Thành phần, số lượng hồ sơ:</w:t>
      </w:r>
    </w:p>
    <w:p w:rsidR="00690163" w:rsidRPr="00545E97" w:rsidRDefault="00690163" w:rsidP="00690163">
      <w:pPr>
        <w:tabs>
          <w:tab w:val="left" w:pos="964"/>
        </w:tabs>
        <w:spacing w:before="120" w:after="120"/>
        <w:ind w:left="540"/>
        <w:jc w:val="both"/>
        <w:rPr>
          <w:b/>
          <w:spacing w:val="-6"/>
          <w:sz w:val="28"/>
          <w:szCs w:val="28"/>
        </w:rPr>
      </w:pPr>
      <w:r>
        <w:rPr>
          <w:b/>
          <w:spacing w:val="-6"/>
          <w:sz w:val="28"/>
          <w:szCs w:val="28"/>
        </w:rPr>
        <w:t xml:space="preserve">+ </w:t>
      </w:r>
      <w:r w:rsidRPr="00545E97">
        <w:rPr>
          <w:b/>
          <w:spacing w:val="-6"/>
          <w:sz w:val="28"/>
          <w:szCs w:val="28"/>
        </w:rPr>
        <w:t xml:space="preserve">Thành phần hồ sơ, bao gồm: </w:t>
      </w:r>
    </w:p>
    <w:p w:rsidR="00690163" w:rsidRPr="00545E97" w:rsidRDefault="00690163" w:rsidP="00690163">
      <w:pPr>
        <w:spacing w:before="120" w:after="120"/>
        <w:ind w:firstLine="540"/>
        <w:jc w:val="both"/>
        <w:rPr>
          <w:sz w:val="28"/>
          <w:szCs w:val="28"/>
        </w:rPr>
      </w:pPr>
      <w:r>
        <w:rPr>
          <w:sz w:val="28"/>
          <w:szCs w:val="28"/>
        </w:rPr>
        <w:t>1</w:t>
      </w:r>
      <w:r w:rsidRPr="00545E97">
        <w:rPr>
          <w:sz w:val="28"/>
          <w:szCs w:val="28"/>
        </w:rPr>
        <w:t xml:space="preserve">) Bản công bố hợp quy (theo Mẫu </w:t>
      </w:r>
      <w:r>
        <w:rPr>
          <w:sz w:val="28"/>
          <w:szCs w:val="28"/>
        </w:rPr>
        <w:t>1</w:t>
      </w:r>
      <w:r w:rsidRPr="00545E97">
        <w:rPr>
          <w:sz w:val="28"/>
          <w:szCs w:val="28"/>
        </w:rPr>
        <w:t xml:space="preserve"> quy định);</w:t>
      </w:r>
    </w:p>
    <w:p w:rsidR="00690163" w:rsidRPr="00545E97" w:rsidRDefault="00690163" w:rsidP="00690163">
      <w:pPr>
        <w:spacing w:before="120" w:after="120"/>
        <w:ind w:firstLine="540"/>
        <w:jc w:val="both"/>
        <w:rPr>
          <w:sz w:val="28"/>
          <w:szCs w:val="28"/>
        </w:rPr>
      </w:pPr>
      <w:r>
        <w:rPr>
          <w:sz w:val="28"/>
          <w:szCs w:val="28"/>
        </w:rPr>
        <w:t>2</w:t>
      </w:r>
      <w:r w:rsidRPr="00545E97">
        <w:rPr>
          <w:sz w:val="28"/>
          <w:szCs w:val="28"/>
        </w:rPr>
        <w:t xml:space="preserve">) Bản sao </w:t>
      </w:r>
      <w:r>
        <w:rPr>
          <w:sz w:val="28"/>
          <w:szCs w:val="28"/>
        </w:rPr>
        <w:t>hoặc Tệp chứa ảnh màu chụp từ bản chính</w:t>
      </w:r>
      <w:r w:rsidRPr="00545E97">
        <w:rPr>
          <w:sz w:val="28"/>
          <w:szCs w:val="28"/>
        </w:rPr>
        <w:t xml:space="preserve"> giấy chứng nhận phù hợp quy chuẩn kỹ thuật tương ứng do tổ chức chứng nhận được chỉ định cấp kèm theo mẫu dấu hợp quy của tổ chức chứng nhận được chỉ định cấp cho tổ chức, cá nhân.</w:t>
      </w:r>
    </w:p>
    <w:p w:rsidR="00690163" w:rsidRPr="00381CC6" w:rsidRDefault="00690163" w:rsidP="00690163">
      <w:pPr>
        <w:tabs>
          <w:tab w:val="left" w:pos="840"/>
        </w:tabs>
        <w:spacing w:before="120" w:after="120"/>
        <w:ind w:left="540"/>
        <w:jc w:val="both"/>
        <w:rPr>
          <w:i/>
          <w:sz w:val="28"/>
          <w:szCs w:val="28"/>
        </w:rPr>
      </w:pPr>
      <w:r>
        <w:rPr>
          <w:sz w:val="28"/>
          <w:szCs w:val="28"/>
        </w:rPr>
        <w:t xml:space="preserve">+ </w:t>
      </w:r>
      <w:r w:rsidRPr="00381CC6">
        <w:rPr>
          <w:sz w:val="28"/>
          <w:szCs w:val="28"/>
        </w:rPr>
        <w:t>Số lượng hồ sơ: 01 bộ.</w:t>
      </w:r>
    </w:p>
    <w:p w:rsidR="00690163" w:rsidRPr="00B24B1B" w:rsidRDefault="00690163" w:rsidP="00690163">
      <w:pPr>
        <w:widowControl w:val="0"/>
        <w:numPr>
          <w:ilvl w:val="0"/>
          <w:numId w:val="1"/>
        </w:numPr>
        <w:tabs>
          <w:tab w:val="clear" w:pos="960"/>
          <w:tab w:val="left" w:pos="720"/>
        </w:tabs>
        <w:spacing w:before="120" w:after="120"/>
        <w:ind w:left="0" w:firstLine="540"/>
        <w:jc w:val="both"/>
        <w:rPr>
          <w:b/>
          <w:sz w:val="28"/>
          <w:szCs w:val="28"/>
        </w:rPr>
      </w:pPr>
      <w:r w:rsidRPr="00B24B1B">
        <w:rPr>
          <w:b/>
          <w:sz w:val="28"/>
          <w:szCs w:val="28"/>
        </w:rPr>
        <w:t xml:space="preserve">Thời hạn giải quyết: </w:t>
      </w:r>
      <w:r w:rsidRPr="00545E97">
        <w:rPr>
          <w:sz w:val="28"/>
          <w:szCs w:val="28"/>
        </w:rPr>
        <w:t>1</w:t>
      </w:r>
      <w:r>
        <w:rPr>
          <w:sz w:val="28"/>
          <w:szCs w:val="28"/>
        </w:rPr>
        <w:t>2</w:t>
      </w:r>
      <w:r w:rsidRPr="00545E97">
        <w:rPr>
          <w:sz w:val="28"/>
          <w:szCs w:val="28"/>
        </w:rPr>
        <w:t xml:space="preserve"> (mười </w:t>
      </w:r>
      <w:r>
        <w:rPr>
          <w:sz w:val="28"/>
          <w:szCs w:val="28"/>
        </w:rPr>
        <w:t>hai</w:t>
      </w:r>
      <w:r w:rsidRPr="00545E97">
        <w:rPr>
          <w:sz w:val="28"/>
          <w:szCs w:val="28"/>
        </w:rPr>
        <w:t>) ngày làm việc</w:t>
      </w:r>
      <w:r>
        <w:rPr>
          <w:sz w:val="28"/>
          <w:szCs w:val="28"/>
        </w:rPr>
        <w:t>.</w:t>
      </w:r>
    </w:p>
    <w:p w:rsidR="00690163" w:rsidRPr="00545E97" w:rsidRDefault="00690163" w:rsidP="00690163">
      <w:pPr>
        <w:spacing w:before="120" w:after="120"/>
        <w:ind w:firstLine="540"/>
        <w:jc w:val="both"/>
        <w:rPr>
          <w:sz w:val="28"/>
          <w:szCs w:val="28"/>
        </w:rPr>
      </w:pPr>
      <w:r w:rsidRPr="00545E97">
        <w:rPr>
          <w:sz w:val="28"/>
          <w:szCs w:val="28"/>
        </w:rPr>
        <w:t>1. Đối với hồ sơ công bố hợp quy không đầy đủ theo quy định, trong thời hạn 03 (ba) ngày làm việc kể từ ngày nhận được hồ sơ công bố hợp quy, cơ quan chuyên ngành thông báo bằng văn bản đề nghị bổ sung các loại giấy tờ theo quy định tới tổ chức, cá nhân</w:t>
      </w:r>
      <w:r>
        <w:rPr>
          <w:sz w:val="28"/>
          <w:szCs w:val="28"/>
        </w:rPr>
        <w:t xml:space="preserve"> công bố hợp quy. Sau thời hạn 08</w:t>
      </w:r>
      <w:r w:rsidRPr="00545E97">
        <w:rPr>
          <w:sz w:val="28"/>
          <w:szCs w:val="28"/>
        </w:rPr>
        <w:t xml:space="preserve"> (</w:t>
      </w:r>
      <w:r>
        <w:rPr>
          <w:sz w:val="28"/>
          <w:szCs w:val="28"/>
        </w:rPr>
        <w:t>tám</w:t>
      </w:r>
      <w:r w:rsidRPr="00545E97">
        <w:rPr>
          <w:sz w:val="28"/>
          <w:szCs w:val="28"/>
        </w:rPr>
        <w:t>) ngày làm việc kể từ ngày cơ quan chuyên ngành gửi văn bản đề nghị mà hồ sơ công bố hợp quy không được bổ sung đầy đủ theo quy định, cơ quan chuyên ngành có quyền hủy bỏ việc xử lý đối với hồ sơ này.</w:t>
      </w:r>
    </w:p>
    <w:p w:rsidR="00690163" w:rsidRPr="00545E97" w:rsidRDefault="00690163" w:rsidP="00690163">
      <w:pPr>
        <w:spacing w:before="120" w:after="120"/>
        <w:ind w:firstLine="540"/>
        <w:jc w:val="both"/>
        <w:rPr>
          <w:sz w:val="28"/>
          <w:szCs w:val="28"/>
        </w:rPr>
      </w:pPr>
      <w:r w:rsidRPr="00545E97">
        <w:rPr>
          <w:sz w:val="28"/>
          <w:szCs w:val="28"/>
        </w:rPr>
        <w:t>2. Đối với hồ sơ công bố hợp quy đầy đủ theo quy định, trong thời gian 05 (năm) ngày làm việc kể từ ngày nhận được hồ sơ công bố hợp quy, cơ quan chuyên ngành tổ chức kiểm tra tính hợp lệ của hồ sơ công bố hợp quy:</w:t>
      </w:r>
    </w:p>
    <w:p w:rsidR="00690163" w:rsidRPr="00545E97" w:rsidRDefault="00690163" w:rsidP="00690163">
      <w:pPr>
        <w:spacing w:before="120" w:after="120"/>
        <w:ind w:firstLine="540"/>
        <w:jc w:val="both"/>
        <w:rPr>
          <w:sz w:val="28"/>
          <w:szCs w:val="28"/>
        </w:rPr>
      </w:pPr>
      <w:r w:rsidRPr="00545E97">
        <w:rPr>
          <w:sz w:val="28"/>
          <w:szCs w:val="28"/>
        </w:rPr>
        <w:t>a) Trường hợp hồ sơ công bố hợp quy đầy đủ và hợp lệ, cơ quan chuyên ngành ban hành Thông báo tiếp nhận hồ sơ công bố hợp quy cho tổ chức, cá nhân công bố hợp quy. Thông báo tiếp nhận hồ sơ công bố hơp quy có giá trị theo giá trị của giấy chứng nhận hợp quy do tổ chức chứng nhận được chỉ định cấp;</w:t>
      </w:r>
    </w:p>
    <w:p w:rsidR="00690163" w:rsidRDefault="00690163" w:rsidP="00690163">
      <w:pPr>
        <w:spacing w:before="120" w:after="120"/>
        <w:ind w:firstLine="540"/>
        <w:jc w:val="both"/>
        <w:rPr>
          <w:sz w:val="28"/>
          <w:szCs w:val="28"/>
        </w:rPr>
      </w:pPr>
      <w:r w:rsidRPr="00545E97">
        <w:rPr>
          <w:sz w:val="28"/>
          <w:szCs w:val="28"/>
        </w:rPr>
        <w:lastRenderedPageBreak/>
        <w:t>b) Trường hợp hồ sơ công bố hợp quy đầy đủ nhưng không hợp lệ, cơ quan chuyên ngành thông báo bằng văn bản cho tổ chức, cá nhân công bố hợp quy về lý do không tiếp nhận hồ sơ.</w:t>
      </w:r>
    </w:p>
    <w:p w:rsidR="00690163" w:rsidRDefault="00690163" w:rsidP="00690163">
      <w:pPr>
        <w:tabs>
          <w:tab w:val="left" w:pos="840"/>
        </w:tabs>
        <w:spacing w:after="120"/>
        <w:ind w:firstLine="600"/>
        <w:jc w:val="both"/>
        <w:rPr>
          <w:spacing w:val="-4"/>
          <w:sz w:val="28"/>
          <w:szCs w:val="28"/>
        </w:rPr>
      </w:pPr>
      <w:r>
        <w:rPr>
          <w:i/>
          <w:spacing w:val="-4"/>
          <w:sz w:val="28"/>
          <w:szCs w:val="28"/>
        </w:rPr>
        <w:t>(Khi đến nhận kết quả phải có biên nhận. Trường hợp nhận thay phải có biên nhận và giấy giới thiệu hoặc giấy ủy quyền của cá nhân, tổ chức đề nghị cấp)</w:t>
      </w:r>
      <w:r>
        <w:rPr>
          <w:spacing w:val="-4"/>
          <w:sz w:val="28"/>
          <w:szCs w:val="28"/>
        </w:rPr>
        <w:t>.</w:t>
      </w:r>
    </w:p>
    <w:p w:rsidR="00690163" w:rsidRPr="00B24B1B" w:rsidRDefault="00690163" w:rsidP="00690163">
      <w:pPr>
        <w:widowControl w:val="0"/>
        <w:numPr>
          <w:ilvl w:val="0"/>
          <w:numId w:val="1"/>
        </w:numPr>
        <w:tabs>
          <w:tab w:val="clear" w:pos="960"/>
          <w:tab w:val="left" w:pos="720"/>
        </w:tabs>
        <w:spacing w:before="120" w:after="120"/>
        <w:ind w:left="0" w:firstLine="540"/>
        <w:jc w:val="both"/>
        <w:rPr>
          <w:b/>
          <w:sz w:val="28"/>
          <w:szCs w:val="28"/>
        </w:rPr>
      </w:pPr>
      <w:r w:rsidRPr="00B24B1B">
        <w:rPr>
          <w:b/>
          <w:sz w:val="28"/>
          <w:szCs w:val="28"/>
        </w:rPr>
        <w:t>Cơ quan thực hiện thủ tục hành chính:</w:t>
      </w:r>
    </w:p>
    <w:p w:rsidR="00690163" w:rsidRPr="00545E97" w:rsidRDefault="00690163" w:rsidP="00690163">
      <w:pPr>
        <w:numPr>
          <w:ilvl w:val="1"/>
          <w:numId w:val="1"/>
        </w:numPr>
        <w:tabs>
          <w:tab w:val="left" w:pos="964"/>
          <w:tab w:val="num" w:pos="1320"/>
        </w:tabs>
        <w:spacing w:before="120" w:after="120"/>
        <w:ind w:left="0" w:firstLine="540"/>
        <w:jc w:val="both"/>
        <w:rPr>
          <w:spacing w:val="-6"/>
          <w:sz w:val="28"/>
          <w:szCs w:val="28"/>
        </w:rPr>
      </w:pPr>
      <w:r w:rsidRPr="00545E97">
        <w:rPr>
          <w:spacing w:val="-6"/>
          <w:sz w:val="28"/>
          <w:szCs w:val="28"/>
        </w:rPr>
        <w:t>Cơ quan có thẩm quyền quyết định: Sở Xây dựng tỉnh An Giang.</w:t>
      </w:r>
    </w:p>
    <w:p w:rsidR="00690163" w:rsidRPr="00545E97" w:rsidRDefault="00690163" w:rsidP="00690163">
      <w:pPr>
        <w:numPr>
          <w:ilvl w:val="1"/>
          <w:numId w:val="1"/>
        </w:numPr>
        <w:tabs>
          <w:tab w:val="left" w:pos="964"/>
          <w:tab w:val="num" w:pos="1320"/>
        </w:tabs>
        <w:spacing w:before="120" w:after="120"/>
        <w:ind w:left="0" w:firstLine="540"/>
        <w:jc w:val="both"/>
        <w:rPr>
          <w:spacing w:val="-6"/>
          <w:sz w:val="28"/>
          <w:szCs w:val="28"/>
        </w:rPr>
      </w:pPr>
      <w:r w:rsidRPr="00545E97">
        <w:rPr>
          <w:spacing w:val="-6"/>
          <w:sz w:val="28"/>
          <w:szCs w:val="28"/>
        </w:rPr>
        <w:t>Cơ quan hoặc người có thẩm quyền được ủy quyền hoặc phân cấp thực hiện: không.</w:t>
      </w:r>
    </w:p>
    <w:p w:rsidR="00690163" w:rsidRPr="00545E97" w:rsidRDefault="00690163" w:rsidP="00690163">
      <w:pPr>
        <w:numPr>
          <w:ilvl w:val="1"/>
          <w:numId w:val="1"/>
        </w:numPr>
        <w:tabs>
          <w:tab w:val="left" w:pos="964"/>
          <w:tab w:val="num" w:pos="1320"/>
        </w:tabs>
        <w:spacing w:before="120" w:after="120"/>
        <w:ind w:left="0" w:firstLine="540"/>
        <w:jc w:val="both"/>
        <w:rPr>
          <w:spacing w:val="-6"/>
          <w:sz w:val="28"/>
          <w:szCs w:val="28"/>
        </w:rPr>
      </w:pPr>
      <w:r w:rsidRPr="00545E97">
        <w:rPr>
          <w:spacing w:val="-6"/>
          <w:sz w:val="28"/>
          <w:szCs w:val="28"/>
        </w:rPr>
        <w:t>Cơ quan trực tiếp thực hiện TTHC: Sở Xây dựng tỉnh An Giang.</w:t>
      </w:r>
    </w:p>
    <w:p w:rsidR="00690163" w:rsidRPr="00545E97" w:rsidRDefault="00690163" w:rsidP="00690163">
      <w:pPr>
        <w:numPr>
          <w:ilvl w:val="1"/>
          <w:numId w:val="1"/>
        </w:numPr>
        <w:tabs>
          <w:tab w:val="left" w:pos="964"/>
          <w:tab w:val="num" w:pos="1320"/>
        </w:tabs>
        <w:spacing w:before="120" w:after="120"/>
        <w:ind w:left="0" w:firstLine="540"/>
        <w:jc w:val="both"/>
        <w:rPr>
          <w:spacing w:val="-6"/>
          <w:sz w:val="28"/>
          <w:szCs w:val="28"/>
        </w:rPr>
      </w:pPr>
      <w:r w:rsidRPr="00545E97">
        <w:rPr>
          <w:spacing w:val="-6"/>
          <w:sz w:val="28"/>
          <w:szCs w:val="28"/>
        </w:rPr>
        <w:t>Cơ quan phối hợp: không.</w:t>
      </w:r>
    </w:p>
    <w:p w:rsidR="00690163" w:rsidRPr="00545E97" w:rsidRDefault="00690163" w:rsidP="00690163">
      <w:pPr>
        <w:widowControl w:val="0"/>
        <w:numPr>
          <w:ilvl w:val="0"/>
          <w:numId w:val="1"/>
        </w:numPr>
        <w:tabs>
          <w:tab w:val="clear" w:pos="960"/>
          <w:tab w:val="left" w:pos="720"/>
        </w:tabs>
        <w:spacing w:before="120" w:after="120"/>
        <w:ind w:left="0" w:firstLine="540"/>
        <w:jc w:val="both"/>
        <w:rPr>
          <w:sz w:val="28"/>
          <w:szCs w:val="28"/>
        </w:rPr>
      </w:pPr>
      <w:r w:rsidRPr="00545E97">
        <w:rPr>
          <w:sz w:val="28"/>
          <w:szCs w:val="28"/>
        </w:rPr>
        <w:t>Đối tượng thực hiện thủ tục hành chính: Tổ chức, cá nhân.</w:t>
      </w:r>
    </w:p>
    <w:p w:rsidR="00690163" w:rsidRPr="00B24B1B" w:rsidRDefault="00690163" w:rsidP="00690163">
      <w:pPr>
        <w:widowControl w:val="0"/>
        <w:numPr>
          <w:ilvl w:val="0"/>
          <w:numId w:val="1"/>
        </w:numPr>
        <w:tabs>
          <w:tab w:val="clear" w:pos="960"/>
          <w:tab w:val="left" w:pos="720"/>
        </w:tabs>
        <w:spacing w:before="120" w:after="120"/>
        <w:ind w:left="0" w:firstLine="540"/>
        <w:jc w:val="both"/>
        <w:rPr>
          <w:b/>
          <w:sz w:val="28"/>
          <w:szCs w:val="28"/>
        </w:rPr>
      </w:pPr>
      <w:r w:rsidRPr="00B24B1B">
        <w:rPr>
          <w:b/>
          <w:sz w:val="28"/>
          <w:szCs w:val="28"/>
        </w:rPr>
        <w:t>Tên mẫu đơn, mẫu tờ khai: có.</w:t>
      </w:r>
    </w:p>
    <w:p w:rsidR="00690163" w:rsidRPr="00B24B1B" w:rsidRDefault="00690163" w:rsidP="00690163">
      <w:pPr>
        <w:widowControl w:val="0"/>
        <w:numPr>
          <w:ilvl w:val="0"/>
          <w:numId w:val="1"/>
        </w:numPr>
        <w:tabs>
          <w:tab w:val="clear" w:pos="960"/>
          <w:tab w:val="left" w:pos="720"/>
        </w:tabs>
        <w:spacing w:before="120" w:after="120"/>
        <w:ind w:left="0" w:firstLine="540"/>
        <w:jc w:val="both"/>
        <w:rPr>
          <w:b/>
          <w:sz w:val="28"/>
          <w:szCs w:val="28"/>
        </w:rPr>
      </w:pPr>
      <w:r w:rsidRPr="00B24B1B">
        <w:rPr>
          <w:b/>
          <w:sz w:val="28"/>
          <w:szCs w:val="28"/>
        </w:rPr>
        <w:t xml:space="preserve">Yêu cầu, điều kiện thực hiện thủ tục hành chính: </w:t>
      </w:r>
    </w:p>
    <w:p w:rsidR="00690163" w:rsidRPr="00545E97"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Các sản phẩm, hàng hóa vật liệu xây dựng là đối tượng phải công bố hợp quy theo quy định tại Thông tư số 11/2009/TT-BXD ngày 18/6/2009 của Bộ Xây dựng Quy định công tác quản lý chất lượng sản phẩm, hàng hóa kính xây dựng; Thông tư số 01/2010/TT-BXD ngày 08/01/2010 của Bộ Xây dựng Quy định công tác quản lý chất lượng clanhke xi măng póoc lăng thương phẩm; Thông tư số 14/2010/TT-BXD ngày 20/8/2010 của Bộ Xây dựng Quy định công tác quản lý chất lượng sản phẩm, hàng hóa vật liệu xây dựng gạch ốp lát; Quy chuẩn kỹ thuật quốc gia về sản phẩm, hàng hóa vật liệu xây dựng QCVN 16:201</w:t>
      </w:r>
      <w:r>
        <w:rPr>
          <w:sz w:val="28"/>
          <w:szCs w:val="28"/>
          <w:lang w:val="it-IT"/>
        </w:rPr>
        <w:t>4</w:t>
      </w:r>
      <w:r w:rsidRPr="00545E97">
        <w:rPr>
          <w:sz w:val="28"/>
          <w:szCs w:val="28"/>
          <w:lang w:val="it-IT"/>
        </w:rPr>
        <w:t>/BXD ban hành kèm theo Thông tư số 1</w:t>
      </w:r>
      <w:r>
        <w:rPr>
          <w:sz w:val="28"/>
          <w:szCs w:val="28"/>
          <w:lang w:val="it-IT"/>
        </w:rPr>
        <w:t>5</w:t>
      </w:r>
      <w:r w:rsidRPr="00545E97">
        <w:rPr>
          <w:sz w:val="28"/>
          <w:szCs w:val="28"/>
          <w:lang w:val="it-IT"/>
        </w:rPr>
        <w:t>/201</w:t>
      </w:r>
      <w:r>
        <w:rPr>
          <w:sz w:val="28"/>
          <w:szCs w:val="28"/>
          <w:lang w:val="it-IT"/>
        </w:rPr>
        <w:t>4</w:t>
      </w:r>
      <w:r w:rsidRPr="00545E97">
        <w:rPr>
          <w:sz w:val="28"/>
          <w:szCs w:val="28"/>
          <w:lang w:val="it-IT"/>
        </w:rPr>
        <w:t xml:space="preserve">/TT-BXD ngày </w:t>
      </w:r>
      <w:r>
        <w:rPr>
          <w:sz w:val="28"/>
          <w:szCs w:val="28"/>
          <w:lang w:val="it-IT"/>
        </w:rPr>
        <w:t>15</w:t>
      </w:r>
      <w:r w:rsidRPr="00545E97">
        <w:rPr>
          <w:sz w:val="28"/>
          <w:szCs w:val="28"/>
          <w:lang w:val="it-IT"/>
        </w:rPr>
        <w:t>/</w:t>
      </w:r>
      <w:r>
        <w:rPr>
          <w:sz w:val="28"/>
          <w:szCs w:val="28"/>
          <w:lang w:val="it-IT"/>
        </w:rPr>
        <w:t>9</w:t>
      </w:r>
      <w:r w:rsidRPr="00545E97">
        <w:rPr>
          <w:sz w:val="28"/>
          <w:szCs w:val="28"/>
          <w:lang w:val="it-IT"/>
        </w:rPr>
        <w:t>/201</w:t>
      </w:r>
      <w:r>
        <w:rPr>
          <w:sz w:val="28"/>
          <w:szCs w:val="28"/>
          <w:lang w:val="it-IT"/>
        </w:rPr>
        <w:t>4</w:t>
      </w:r>
      <w:r w:rsidRPr="00545E97">
        <w:rPr>
          <w:sz w:val="28"/>
          <w:szCs w:val="28"/>
          <w:lang w:val="it-IT"/>
        </w:rPr>
        <w:t xml:space="preserve"> của Bộ Xây dựng.</w:t>
      </w:r>
    </w:p>
    <w:p w:rsidR="00690163" w:rsidRPr="00222EC9"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Trước khi công bố hợp quy sản phẩm, hàng hóa vật liệu xây dựng, tổ chức, cá nhân công bố hợp quy phải thực hiện việc chứng nhận sự phù hợp của sản phẩm, hàng hóa vật liệu xây dựng với Tiêu chuẩn kỹ thuật/Quy chuẩn kỹ thuật tương ứng theo quy định.</w:t>
      </w:r>
      <w:r w:rsidRPr="00222EC9">
        <w:rPr>
          <w:spacing w:val="-6"/>
          <w:sz w:val="28"/>
          <w:szCs w:val="28"/>
          <w:lang w:val="it-IT"/>
        </w:rPr>
        <w:t>.</w:t>
      </w:r>
    </w:p>
    <w:p w:rsidR="00690163" w:rsidRPr="00222EC9" w:rsidRDefault="00690163" w:rsidP="00690163">
      <w:pPr>
        <w:widowControl w:val="0"/>
        <w:numPr>
          <w:ilvl w:val="0"/>
          <w:numId w:val="1"/>
        </w:numPr>
        <w:tabs>
          <w:tab w:val="clear" w:pos="960"/>
          <w:tab w:val="left" w:pos="720"/>
        </w:tabs>
        <w:spacing w:before="120" w:after="120"/>
        <w:ind w:left="0" w:firstLine="540"/>
        <w:jc w:val="both"/>
        <w:rPr>
          <w:b/>
          <w:sz w:val="28"/>
          <w:szCs w:val="28"/>
          <w:lang w:val="it-IT"/>
        </w:rPr>
      </w:pPr>
      <w:r w:rsidRPr="00222EC9">
        <w:rPr>
          <w:b/>
          <w:sz w:val="28"/>
          <w:szCs w:val="28"/>
          <w:lang w:val="it-IT"/>
        </w:rPr>
        <w:t>Căn cứ pháp lý của thủ tục hành chính:</w:t>
      </w:r>
    </w:p>
    <w:p w:rsidR="00690163" w:rsidRPr="00222EC9"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xml:space="preserve">+ Thông tư số 11/2009/TT-BXD ngày 18/6/2009 của Bộ Xây dựng Quy định công tác quản lý chất lượng sản phẩm, hàng hóa kính xây dựng; </w:t>
      </w:r>
    </w:p>
    <w:p w:rsidR="00690163" w:rsidRPr="00222EC9"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Thông tư số 01/2010/TT-BXD ngày 08/01/2010 của Bộ Xây dựng Quy định công tác quản lý chất lượng clanhke xi măng póoc lăng thương phẩm;</w:t>
      </w:r>
    </w:p>
    <w:p w:rsidR="00690163" w:rsidRPr="00222EC9"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Thông tư số 14/2010/TT-BXD ngày 20/8/2010 của Bộ Xây dựng Quy định công tác quản lý chất lượng sản phẩm, hàng hóa vật liệu xây dựng gạch ốp lát;</w:t>
      </w:r>
    </w:p>
    <w:p w:rsidR="00690163" w:rsidRPr="00545E97"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Thông tư số 21/2010/TT-BXD ngày 16/11/2010 của Bộ Xây dựng về hướng dẫn chứng nhận hợp quy và công bố hợp quy đối với sản phẩm, hàng hoá vật liệu xây dựng;</w:t>
      </w:r>
    </w:p>
    <w:p w:rsidR="00690163" w:rsidRPr="00545E97"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lastRenderedPageBreak/>
        <w:t>+ Quy chuẩn kỹ thuật quốc gia về sản phẩm, hàng hóa vật liệu xây dựng QCVN 16:201</w:t>
      </w:r>
      <w:r>
        <w:rPr>
          <w:sz w:val="28"/>
          <w:szCs w:val="28"/>
          <w:lang w:val="it-IT"/>
        </w:rPr>
        <w:t>4</w:t>
      </w:r>
      <w:r w:rsidRPr="00545E97">
        <w:rPr>
          <w:sz w:val="28"/>
          <w:szCs w:val="28"/>
          <w:lang w:val="it-IT"/>
        </w:rPr>
        <w:t>/BXD ban hành kèm theo Thông tư số 1</w:t>
      </w:r>
      <w:r>
        <w:rPr>
          <w:sz w:val="28"/>
          <w:szCs w:val="28"/>
          <w:lang w:val="it-IT"/>
        </w:rPr>
        <w:t>5</w:t>
      </w:r>
      <w:r w:rsidRPr="00545E97">
        <w:rPr>
          <w:sz w:val="28"/>
          <w:szCs w:val="28"/>
          <w:lang w:val="it-IT"/>
        </w:rPr>
        <w:t>/201</w:t>
      </w:r>
      <w:r>
        <w:rPr>
          <w:sz w:val="28"/>
          <w:szCs w:val="28"/>
          <w:lang w:val="it-IT"/>
        </w:rPr>
        <w:t>4</w:t>
      </w:r>
      <w:r w:rsidRPr="00545E97">
        <w:rPr>
          <w:sz w:val="28"/>
          <w:szCs w:val="28"/>
          <w:lang w:val="it-IT"/>
        </w:rPr>
        <w:t xml:space="preserve">/TT-BXD ngày </w:t>
      </w:r>
      <w:r>
        <w:rPr>
          <w:sz w:val="28"/>
          <w:szCs w:val="28"/>
          <w:lang w:val="it-IT"/>
        </w:rPr>
        <w:t>15</w:t>
      </w:r>
      <w:r w:rsidRPr="00545E97">
        <w:rPr>
          <w:sz w:val="28"/>
          <w:szCs w:val="28"/>
          <w:lang w:val="it-IT"/>
        </w:rPr>
        <w:t>/</w:t>
      </w:r>
      <w:r>
        <w:rPr>
          <w:sz w:val="28"/>
          <w:szCs w:val="28"/>
          <w:lang w:val="it-IT"/>
        </w:rPr>
        <w:t>9</w:t>
      </w:r>
      <w:r w:rsidRPr="00545E97">
        <w:rPr>
          <w:sz w:val="28"/>
          <w:szCs w:val="28"/>
          <w:lang w:val="it-IT"/>
        </w:rPr>
        <w:t>/201</w:t>
      </w:r>
      <w:r>
        <w:rPr>
          <w:sz w:val="28"/>
          <w:szCs w:val="28"/>
          <w:lang w:val="it-IT"/>
        </w:rPr>
        <w:t>4</w:t>
      </w:r>
      <w:r w:rsidRPr="00545E97">
        <w:rPr>
          <w:sz w:val="28"/>
          <w:szCs w:val="28"/>
          <w:lang w:val="it-IT"/>
        </w:rPr>
        <w:t xml:space="preserve"> của Bộ Xây dựng.</w:t>
      </w:r>
    </w:p>
    <w:p w:rsidR="00690163" w:rsidRDefault="00690163" w:rsidP="00690163">
      <w:pPr>
        <w:pStyle w:val="NormalWeb"/>
        <w:spacing w:before="120" w:beforeAutospacing="0" w:after="120" w:afterAutospacing="0"/>
        <w:ind w:firstLine="540"/>
        <w:jc w:val="both"/>
        <w:rPr>
          <w:sz w:val="28"/>
          <w:szCs w:val="28"/>
          <w:lang w:val="it-IT"/>
        </w:rPr>
      </w:pPr>
      <w:r w:rsidRPr="00545E97">
        <w:rPr>
          <w:sz w:val="28"/>
          <w:szCs w:val="28"/>
          <w:lang w:val="it-IT"/>
        </w:rPr>
        <w:t>+ Thông tư số 28/2012/TT-BKHCN ngày 12/12/2012 của Bộ Khoa học và Công nghệ về việc ban hành “Quy định về  công bố hợp chuẩn, công bố hợp quy và phương thức đánh giá sự phù hợp với tiêu chuẩn, quy chuẩn kỹ thuật”;</w:t>
      </w:r>
    </w:p>
    <w:p w:rsidR="00690163" w:rsidRDefault="00690163" w:rsidP="00690163">
      <w:pPr>
        <w:pStyle w:val="NormalWeb"/>
        <w:spacing w:before="120" w:beforeAutospacing="0" w:after="120" w:afterAutospacing="0"/>
        <w:ind w:firstLine="540"/>
        <w:jc w:val="both"/>
        <w:rPr>
          <w:sz w:val="28"/>
          <w:szCs w:val="28"/>
          <w:lang w:val="it-IT"/>
        </w:rPr>
      </w:pPr>
      <w:r>
        <w:rPr>
          <w:sz w:val="28"/>
          <w:szCs w:val="28"/>
          <w:lang w:val="it-IT"/>
        </w:rPr>
        <w:t xml:space="preserve">+ Thông tư số 02/2017/TT-BKHCN ngày 31/3/2017 của </w:t>
      </w:r>
      <w:r w:rsidRPr="00545E97">
        <w:rPr>
          <w:sz w:val="28"/>
          <w:szCs w:val="28"/>
          <w:lang w:val="it-IT"/>
        </w:rPr>
        <w:t>Bộ Khoa học và Công nghệ</w:t>
      </w:r>
      <w:r>
        <w:rPr>
          <w:sz w:val="28"/>
          <w:szCs w:val="28"/>
          <w:lang w:val="it-IT"/>
        </w:rPr>
        <w:t xml:space="preserve"> về việc Sửa đổi, bổ sung một số điều của </w:t>
      </w:r>
      <w:r w:rsidRPr="00545E97">
        <w:rPr>
          <w:sz w:val="28"/>
          <w:szCs w:val="28"/>
          <w:lang w:val="it-IT"/>
        </w:rPr>
        <w:t>Thông tư số 28/2012/TT-BKHCN ngày 12/12/2012 của Bộ Khoa học và Công nghệ về việc ban hành “Quy định về  công bố hợp chuẩn, công bố hợp quy và phương thức đánh giá sự phù hợp với tiêu chuẩn, quy chuẩn kỹ thuật”</w:t>
      </w:r>
    </w:p>
    <w:p w:rsidR="00690163" w:rsidRDefault="00690163" w:rsidP="00690163">
      <w:pPr>
        <w:spacing w:before="120"/>
        <w:ind w:firstLine="540"/>
        <w:jc w:val="both"/>
        <w:rPr>
          <w:sz w:val="28"/>
          <w:szCs w:val="28"/>
          <w:lang w:val="it-IT"/>
        </w:rPr>
      </w:pPr>
    </w:p>
    <w:p w:rsidR="00690163" w:rsidRDefault="00690163" w:rsidP="00690163">
      <w:pPr>
        <w:pStyle w:val="NormalWeb"/>
        <w:spacing w:before="120" w:beforeAutospacing="0" w:after="120" w:afterAutospacing="0"/>
        <w:ind w:firstLine="540"/>
        <w:jc w:val="both"/>
        <w:rPr>
          <w:sz w:val="28"/>
          <w:szCs w:val="28"/>
          <w:lang w:val="it-IT"/>
        </w:rPr>
      </w:pPr>
    </w:p>
    <w:p w:rsidR="00690163" w:rsidRDefault="00690163" w:rsidP="00690163">
      <w:pPr>
        <w:pStyle w:val="NormalWeb"/>
        <w:spacing w:before="120" w:beforeAutospacing="0" w:after="120" w:afterAutospacing="0"/>
        <w:ind w:firstLine="540"/>
        <w:jc w:val="both"/>
        <w:rPr>
          <w:sz w:val="28"/>
          <w:szCs w:val="28"/>
          <w:lang w:val="it-IT"/>
        </w:rPr>
      </w:pPr>
    </w:p>
    <w:p w:rsidR="00690163" w:rsidRDefault="00690163" w:rsidP="00690163">
      <w:pPr>
        <w:pStyle w:val="NormalWeb"/>
        <w:spacing w:before="120" w:beforeAutospacing="0" w:after="120" w:afterAutospacing="0"/>
        <w:ind w:firstLine="540"/>
        <w:jc w:val="both"/>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center"/>
        <w:rPr>
          <w:sz w:val="28"/>
          <w:szCs w:val="28"/>
          <w:lang w:val="it-IT"/>
        </w:rPr>
      </w:pPr>
    </w:p>
    <w:p w:rsidR="00690163" w:rsidRDefault="00690163" w:rsidP="00690163">
      <w:pPr>
        <w:spacing w:before="120"/>
        <w:jc w:val="right"/>
        <w:rPr>
          <w:sz w:val="28"/>
          <w:szCs w:val="28"/>
          <w:lang w:val="it-IT"/>
        </w:rPr>
      </w:pPr>
      <w:r>
        <w:rPr>
          <w:sz w:val="28"/>
          <w:szCs w:val="28"/>
          <w:lang w:val="it-IT"/>
        </w:rPr>
        <w:t>Mẫu 2. CBHC/HQ 28/2012/TT-BKHCN</w:t>
      </w:r>
    </w:p>
    <w:p w:rsidR="00690163" w:rsidRPr="00222EC9" w:rsidRDefault="00690163" w:rsidP="00690163">
      <w:pPr>
        <w:spacing w:before="120"/>
        <w:jc w:val="center"/>
        <w:rPr>
          <w:b/>
          <w:sz w:val="28"/>
          <w:szCs w:val="28"/>
          <w:lang w:val="it-IT"/>
        </w:rPr>
      </w:pPr>
      <w:r w:rsidRPr="000A18D1">
        <w:rPr>
          <w:b/>
          <w:sz w:val="28"/>
          <w:szCs w:val="28"/>
          <w:lang w:val="it-IT"/>
        </w:rPr>
        <w:lastRenderedPageBreak/>
        <w:t>CỘNG HÒA XÃ HỘI CHỦ NGHĨA VIỆT NAM</w:t>
      </w:r>
      <w:r w:rsidRPr="00222EC9">
        <w:rPr>
          <w:b/>
          <w:sz w:val="28"/>
          <w:szCs w:val="28"/>
          <w:lang w:val="it-IT"/>
        </w:rPr>
        <w:br/>
        <w:t>Độc lập - Tự do - Hạnh phúc</w:t>
      </w:r>
      <w:r w:rsidRPr="00222EC9">
        <w:rPr>
          <w:b/>
          <w:sz w:val="28"/>
          <w:szCs w:val="28"/>
          <w:lang w:val="it-IT"/>
        </w:rPr>
        <w:br/>
        <w:t>----------------</w:t>
      </w:r>
    </w:p>
    <w:p w:rsidR="00690163" w:rsidRPr="00222EC9" w:rsidRDefault="00690163" w:rsidP="00690163">
      <w:pPr>
        <w:spacing w:before="120"/>
        <w:jc w:val="center"/>
        <w:rPr>
          <w:b/>
          <w:sz w:val="28"/>
          <w:szCs w:val="28"/>
          <w:lang w:val="it-IT"/>
        </w:rPr>
      </w:pPr>
      <w:bookmarkStart w:id="0" w:name="dieu_phuluc2_name"/>
      <w:r w:rsidRPr="00222EC9">
        <w:rPr>
          <w:b/>
          <w:sz w:val="28"/>
          <w:szCs w:val="28"/>
          <w:lang w:val="it-IT"/>
        </w:rPr>
        <w:t>BẢN CÔNG BỐ HỢP QUY</w:t>
      </w:r>
    </w:p>
    <w:bookmarkEnd w:id="0"/>
    <w:p w:rsidR="00690163" w:rsidRPr="00222EC9" w:rsidRDefault="00690163" w:rsidP="00690163">
      <w:pPr>
        <w:spacing w:before="120"/>
        <w:jc w:val="center"/>
        <w:rPr>
          <w:sz w:val="28"/>
          <w:szCs w:val="28"/>
          <w:lang w:val="it-IT"/>
        </w:rPr>
      </w:pPr>
      <w:r w:rsidRPr="00222EC9">
        <w:rPr>
          <w:sz w:val="28"/>
          <w:szCs w:val="28"/>
          <w:lang w:val="it-IT"/>
        </w:rPr>
        <w:t>Số ………………………….</w:t>
      </w:r>
    </w:p>
    <w:p w:rsidR="00690163" w:rsidRPr="00222EC9" w:rsidRDefault="00690163" w:rsidP="00690163">
      <w:pPr>
        <w:spacing w:before="120"/>
        <w:ind w:firstLine="540"/>
        <w:rPr>
          <w:sz w:val="28"/>
          <w:szCs w:val="28"/>
          <w:lang w:val="it-IT"/>
        </w:rPr>
      </w:pPr>
      <w:r w:rsidRPr="00222EC9">
        <w:rPr>
          <w:sz w:val="28"/>
          <w:szCs w:val="28"/>
          <w:lang w:val="it-IT"/>
        </w:rPr>
        <w:t>Tên tổ chức, cá nhân: ……… ……………………………………………</w:t>
      </w:r>
    </w:p>
    <w:p w:rsidR="00690163" w:rsidRPr="00222EC9" w:rsidRDefault="00690163" w:rsidP="00690163">
      <w:pPr>
        <w:spacing w:before="120"/>
        <w:ind w:firstLine="540"/>
        <w:rPr>
          <w:sz w:val="28"/>
          <w:szCs w:val="28"/>
          <w:lang w:val="it-IT"/>
        </w:rPr>
      </w:pPr>
      <w:r w:rsidRPr="00222EC9">
        <w:rPr>
          <w:sz w:val="28"/>
          <w:szCs w:val="28"/>
          <w:lang w:val="it-IT"/>
        </w:rPr>
        <w:t>Địa chỉ: ……………………………………………………..……………</w:t>
      </w:r>
    </w:p>
    <w:p w:rsidR="00690163" w:rsidRPr="00222EC9" w:rsidRDefault="00690163" w:rsidP="00690163">
      <w:pPr>
        <w:spacing w:before="120"/>
        <w:ind w:firstLine="540"/>
        <w:rPr>
          <w:sz w:val="28"/>
          <w:szCs w:val="28"/>
          <w:lang w:val="it-IT"/>
        </w:rPr>
      </w:pPr>
      <w:r w:rsidRPr="00222EC9">
        <w:rPr>
          <w:sz w:val="28"/>
          <w:szCs w:val="28"/>
          <w:lang w:val="it-IT"/>
        </w:rPr>
        <w:t>Điện thoại: …………………………Fax: …………………………………</w:t>
      </w:r>
    </w:p>
    <w:p w:rsidR="00690163" w:rsidRPr="00222EC9" w:rsidRDefault="00690163" w:rsidP="00690163">
      <w:pPr>
        <w:spacing w:before="120"/>
        <w:ind w:firstLine="540"/>
        <w:rPr>
          <w:sz w:val="28"/>
          <w:szCs w:val="28"/>
          <w:lang w:val="it-IT"/>
        </w:rPr>
      </w:pPr>
      <w:r w:rsidRPr="00222EC9">
        <w:rPr>
          <w:sz w:val="28"/>
          <w:szCs w:val="28"/>
          <w:lang w:val="it-IT"/>
        </w:rPr>
        <w:t>E-mail: ……………………………………………………..………………</w:t>
      </w:r>
    </w:p>
    <w:p w:rsidR="00690163" w:rsidRPr="00222EC9" w:rsidRDefault="00690163" w:rsidP="00690163">
      <w:pPr>
        <w:spacing w:before="360" w:after="240"/>
        <w:ind w:right="651"/>
        <w:jc w:val="center"/>
        <w:rPr>
          <w:b/>
          <w:sz w:val="28"/>
          <w:szCs w:val="28"/>
          <w:lang w:val="it-IT"/>
        </w:rPr>
      </w:pPr>
      <w:r w:rsidRPr="00222EC9">
        <w:rPr>
          <w:b/>
          <w:sz w:val="28"/>
          <w:szCs w:val="28"/>
          <w:lang w:val="it-IT"/>
        </w:rPr>
        <w:t>CÔNG BỐ:</w:t>
      </w:r>
    </w:p>
    <w:p w:rsidR="00690163" w:rsidRPr="00222EC9" w:rsidRDefault="00690163" w:rsidP="00690163">
      <w:pPr>
        <w:spacing w:before="120"/>
        <w:ind w:firstLine="540"/>
        <w:jc w:val="both"/>
        <w:rPr>
          <w:sz w:val="28"/>
          <w:szCs w:val="28"/>
          <w:lang w:val="it-IT"/>
        </w:rPr>
      </w:pPr>
      <w:r w:rsidRPr="00222EC9">
        <w:rPr>
          <w:sz w:val="28"/>
          <w:szCs w:val="28"/>
          <w:lang w:val="it-IT"/>
        </w:rPr>
        <w:t>Sản phẩm, hàng hóa, quá trình, dịch vụ, môi trường (</w:t>
      </w:r>
      <w:r w:rsidRPr="00222EC9">
        <w:rPr>
          <w:i/>
          <w:sz w:val="28"/>
          <w:szCs w:val="28"/>
          <w:lang w:val="it-IT"/>
        </w:rPr>
        <w:t>tên gọi, kiểu, loại, nhãn hiệu, đặc trưng kỹ thuật,...</w:t>
      </w:r>
      <w:r w:rsidRPr="00222EC9">
        <w:rPr>
          <w:sz w:val="28"/>
          <w:szCs w:val="28"/>
          <w:lang w:val="it-IT"/>
        </w:rPr>
        <w:t xml:space="preserve"> )</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Phù hợp với tiêu chuẩn/quy chuẩn kỹ thuật (</w:t>
      </w:r>
      <w:r w:rsidRPr="00222EC9">
        <w:rPr>
          <w:i/>
          <w:sz w:val="28"/>
          <w:szCs w:val="28"/>
          <w:lang w:val="it-IT"/>
        </w:rPr>
        <w:t>số hiệu, ký hiệu, tên gọi</w:t>
      </w: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Thông tin bổ sung (</w:t>
      </w:r>
      <w:r w:rsidRPr="00222EC9">
        <w:rPr>
          <w:i/>
          <w:sz w:val="28"/>
          <w:szCs w:val="28"/>
          <w:lang w:val="it-IT"/>
        </w:rPr>
        <w:t>căn cứ công bố hợp chuẩn/hợp quy, phương thức đánh giá sự phù hợp...</w:t>
      </w: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w:t>
      </w:r>
    </w:p>
    <w:p w:rsidR="00690163" w:rsidRPr="00222EC9" w:rsidRDefault="00690163" w:rsidP="00690163">
      <w:pPr>
        <w:spacing w:before="120"/>
        <w:ind w:firstLine="540"/>
        <w:jc w:val="both"/>
        <w:rPr>
          <w:sz w:val="28"/>
          <w:szCs w:val="28"/>
          <w:lang w:val="it-IT"/>
        </w:rPr>
      </w:pPr>
      <w:r w:rsidRPr="00222EC9">
        <w:rPr>
          <w:sz w:val="28"/>
          <w:szCs w:val="28"/>
          <w:lang w:val="it-IT"/>
        </w:rPr>
        <w:t>.....(Tên tổ chức, cá nhân) .... cam kết và chịu trách nhiệm về tính phù hợp của …. (sản phẩm, hàng hóa, quá trình, dịch vụ, môi trường)…….. do mình sản xuất, kinh doanh, bảo quản, vận chuyển, sử dụng, khai thác.</w:t>
      </w:r>
    </w:p>
    <w:p w:rsidR="00690163" w:rsidRPr="00222EC9" w:rsidRDefault="00690163" w:rsidP="00690163">
      <w:pPr>
        <w:spacing w:before="120"/>
        <w:ind w:left="4320" w:firstLine="720"/>
        <w:jc w:val="center"/>
        <w:rPr>
          <w:sz w:val="28"/>
          <w:szCs w:val="28"/>
          <w:lang w:val="it-IT"/>
        </w:rPr>
      </w:pPr>
      <w:r w:rsidRPr="00222EC9">
        <w:rPr>
          <w:i/>
          <w:sz w:val="28"/>
          <w:szCs w:val="28"/>
          <w:lang w:val="it-IT"/>
        </w:rPr>
        <w:t>………, ngày … tháng … năm ….</w:t>
      </w:r>
      <w:r w:rsidRPr="00222EC9">
        <w:rPr>
          <w:sz w:val="28"/>
          <w:szCs w:val="28"/>
          <w:lang w:val="it-IT"/>
        </w:rPr>
        <w:br/>
      </w:r>
      <w:r w:rsidRPr="00222EC9">
        <w:rPr>
          <w:b/>
          <w:sz w:val="28"/>
          <w:szCs w:val="28"/>
          <w:lang w:val="it-IT"/>
        </w:rPr>
        <w:t>Đại diện Tổ chức, cá nhân</w:t>
      </w:r>
      <w:r w:rsidRPr="00222EC9">
        <w:rPr>
          <w:sz w:val="28"/>
          <w:szCs w:val="28"/>
          <w:lang w:val="it-IT"/>
        </w:rPr>
        <w:br/>
        <w:t>(Ký tên, chức vụ, đóng dấu)</w:t>
      </w:r>
    </w:p>
    <w:p w:rsidR="00690163" w:rsidRPr="00222EC9" w:rsidRDefault="00690163" w:rsidP="00690163">
      <w:pPr>
        <w:tabs>
          <w:tab w:val="left" w:pos="840"/>
        </w:tabs>
        <w:spacing w:before="120"/>
        <w:ind w:firstLine="600"/>
        <w:jc w:val="both"/>
        <w:rPr>
          <w:b/>
          <w:sz w:val="28"/>
          <w:szCs w:val="28"/>
          <w:highlight w:val="yellow"/>
          <w:lang w:val="it-IT"/>
        </w:rPr>
      </w:pPr>
    </w:p>
    <w:p w:rsidR="00690163" w:rsidRDefault="00690163" w:rsidP="00690163">
      <w:pPr>
        <w:tabs>
          <w:tab w:val="left" w:pos="840"/>
        </w:tabs>
        <w:spacing w:before="120"/>
        <w:ind w:firstLine="600"/>
        <w:jc w:val="both"/>
        <w:rPr>
          <w:b/>
          <w:sz w:val="28"/>
          <w:szCs w:val="28"/>
          <w:highlight w:val="yellow"/>
          <w:lang w:val="it-IT"/>
        </w:rPr>
      </w:pPr>
    </w:p>
    <w:p w:rsidR="00690163" w:rsidRPr="00222EC9" w:rsidRDefault="00690163" w:rsidP="00690163">
      <w:pPr>
        <w:tabs>
          <w:tab w:val="left" w:pos="840"/>
        </w:tabs>
        <w:spacing w:before="120"/>
        <w:ind w:firstLine="600"/>
        <w:jc w:val="both"/>
        <w:rPr>
          <w:b/>
          <w:sz w:val="28"/>
          <w:szCs w:val="28"/>
          <w:highlight w:val="yellow"/>
          <w:lang w:val="it-IT"/>
        </w:rPr>
      </w:pPr>
    </w:p>
    <w:p w:rsidR="00690163" w:rsidRPr="00222EC9" w:rsidRDefault="00690163" w:rsidP="00690163">
      <w:pPr>
        <w:tabs>
          <w:tab w:val="left" w:pos="840"/>
        </w:tabs>
        <w:spacing w:before="120"/>
        <w:ind w:firstLine="600"/>
        <w:jc w:val="both"/>
        <w:rPr>
          <w:b/>
          <w:sz w:val="28"/>
          <w:szCs w:val="28"/>
          <w:highlight w:val="yellow"/>
          <w:lang w:val="it-IT"/>
        </w:rPr>
      </w:pPr>
    </w:p>
    <w:p w:rsidR="00690163" w:rsidRPr="00222EC9" w:rsidRDefault="00690163" w:rsidP="00690163">
      <w:pPr>
        <w:tabs>
          <w:tab w:val="left" w:pos="840"/>
        </w:tabs>
        <w:spacing w:before="120"/>
        <w:ind w:firstLine="600"/>
        <w:jc w:val="both"/>
        <w:rPr>
          <w:b/>
          <w:sz w:val="28"/>
          <w:szCs w:val="28"/>
          <w:highlight w:val="yellow"/>
          <w:lang w:val="it-IT"/>
        </w:rPr>
      </w:pP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690163"/>
    <w:rsid w:val="003C748A"/>
    <w:rsid w:val="00483204"/>
    <w:rsid w:val="0050426C"/>
    <w:rsid w:val="00690163"/>
    <w:rsid w:val="00F8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63"/>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0163"/>
    <w:pPr>
      <w:spacing w:before="100" w:beforeAutospacing="1" w:after="100" w:afterAutospacing="1"/>
    </w:pPr>
    <w:rPr>
      <w:rFonts w:eastAsia="SimSu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2017-12-23T02:09:00Z</dcterms:created>
  <dcterms:modified xsi:type="dcterms:W3CDTF">2017-12-23T02:09:00Z</dcterms:modified>
</cp:coreProperties>
</file>